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7D709E" w14:textId="77F4CD3C" w:rsidR="00FC0CBD" w:rsidRPr="00FC0CBD" w:rsidRDefault="00663BFF" w:rsidP="006E0EA2">
      <w:pPr>
        <w:pStyle w:val="Ningnestilodeprrafo"/>
        <w:spacing w:after="240" w:line="276" w:lineRule="auto"/>
        <w:rPr>
          <w:rFonts w:ascii="Arial" w:hAnsi="Arial" w:cs="Arial"/>
          <w:sz w:val="21"/>
          <w:szCs w:val="21"/>
          <w:lang w:val="en-US"/>
        </w:rPr>
      </w:pPr>
      <w:r>
        <w:rPr>
          <w:rFonts w:ascii="Arial" w:hAnsi="Arial" w:cs="Arial"/>
          <w:noProof/>
          <w:sz w:val="21"/>
          <w:szCs w:val="21"/>
          <w:lang w:val="en-US"/>
        </w:rPr>
        <mc:AlternateContent>
          <mc:Choice Requires="wps">
            <w:drawing>
              <wp:anchor distT="0" distB="0" distL="114300" distR="114300" simplePos="0" relativeHeight="251660288" behindDoc="0" locked="0" layoutInCell="1" allowOverlap="1" wp14:anchorId="471B908D" wp14:editId="09CB47BE">
                <wp:simplePos x="0" y="0"/>
                <wp:positionH relativeFrom="column">
                  <wp:posOffset>-254971</wp:posOffset>
                </wp:positionH>
                <wp:positionV relativeFrom="paragraph">
                  <wp:posOffset>2790676</wp:posOffset>
                </wp:positionV>
                <wp:extent cx="6562165" cy="4087905"/>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6562165" cy="4087905"/>
                        </a:xfrm>
                        <a:prstGeom prst="rect">
                          <a:avLst/>
                        </a:prstGeom>
                        <a:noFill/>
                        <a:ln w="6350">
                          <a:noFill/>
                        </a:ln>
                      </wps:spPr>
                      <wps:txbx>
                        <w:txbxContent>
                          <w:p w14:paraId="0759CB57" w14:textId="0CEA14F3" w:rsidR="00662842" w:rsidRPr="00663BFF" w:rsidRDefault="00663BFF" w:rsidP="00663BFF">
                            <w:pPr>
                              <w:jc w:val="both"/>
                              <w:rPr>
                                <w:rFonts w:ascii="Arial" w:hAnsi="Arial" w:cs="Arial"/>
                                <w:color w:val="FFFFFF" w:themeColor="background1"/>
                                <w:sz w:val="56"/>
                                <w:szCs w:val="56"/>
                              </w:rPr>
                            </w:pPr>
                            <w:r w:rsidRPr="00663BFF">
                              <w:rPr>
                                <w:rFonts w:ascii="Arial" w:hAnsi="Arial" w:cs="Arial"/>
                                <w:color w:val="FFFFFF" w:themeColor="background1"/>
                                <w:sz w:val="56"/>
                                <w:szCs w:val="56"/>
                              </w:rPr>
                              <w:t>El acceso de las personas con discapacidad al empleo público en la AGE. (OEP 2023 y 2024)</w:t>
                            </w:r>
                          </w:p>
                          <w:p w14:paraId="5F8CFA6A" w14:textId="50F97428" w:rsidR="00663BFF" w:rsidRPr="00663BFF" w:rsidRDefault="00663BFF" w:rsidP="00663BFF">
                            <w:pPr>
                              <w:jc w:val="both"/>
                              <w:rPr>
                                <w:rFonts w:ascii="Arial" w:hAnsi="Arial" w:cs="Arial"/>
                                <w:color w:val="FFFFFF" w:themeColor="background1"/>
                                <w:sz w:val="36"/>
                                <w:szCs w:val="36"/>
                              </w:rPr>
                            </w:pPr>
                            <w:r w:rsidRPr="00663BFF">
                              <w:rPr>
                                <w:rFonts w:ascii="Arial" w:hAnsi="Arial" w:cs="Arial"/>
                                <w:color w:val="FFFFFF" w:themeColor="background1"/>
                                <w:sz w:val="36"/>
                                <w:szCs w:val="36"/>
                              </w:rPr>
                              <w:t>RESUMEN DEL INFORME SOBRE EL ACCESO DE LAS PERSONAS CON DISCAPACIDAD AL EMPLEO PÚBLICO EN LA ADMINISTRACIÓN DEL ESTADO</w:t>
                            </w:r>
                            <w:r>
                              <w:rPr>
                                <w:rFonts w:ascii="Arial" w:hAnsi="Arial" w:cs="Arial"/>
                                <w:color w:val="FFFFFF" w:themeColor="background1"/>
                                <w:sz w:val="36"/>
                                <w:szCs w:val="36"/>
                              </w:rPr>
                              <w:t>. OCTUBRE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1B908D" id="_x0000_t202" coordsize="21600,21600" o:spt="202" path="m,l,21600r21600,l21600,xe">
                <v:stroke joinstyle="miter"/>
                <v:path gradientshapeok="t" o:connecttype="rect"/>
              </v:shapetype>
              <v:shape id="Cuadro de texto 5" o:spid="_x0000_s1026" type="#_x0000_t202" style="position:absolute;margin-left:-20.1pt;margin-top:219.75pt;width:516.7pt;height:32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" filled="f" stroked="f" strokeweight=".5pt">
                <v:textbox>
                  <w:txbxContent>
                    <w:p w14:paraId="0759CB57" w14:textId="0CEA14F3" w:rsidR="00662842" w:rsidRPr="00663BFF" w:rsidRDefault="00663BFF" w:rsidP="00663BFF">
                      <w:pPr>
                        <w:jc w:val="both"/>
                        <w:rPr>
                          <w:rFonts w:ascii="Arial" w:hAnsi="Arial" w:cs="Arial"/>
                          <w:color w:val="FFFFFF" w:themeColor="background1"/>
                          <w:sz w:val="56"/>
                          <w:szCs w:val="56"/>
                        </w:rPr>
                      </w:pPr>
                      <w:r w:rsidRPr="00663BFF">
                        <w:rPr>
                          <w:rFonts w:ascii="Arial" w:hAnsi="Arial" w:cs="Arial"/>
                          <w:color w:val="FFFFFF" w:themeColor="background1"/>
                          <w:sz w:val="56"/>
                          <w:szCs w:val="56"/>
                        </w:rPr>
                        <w:t>El acceso de las personas con discapacidad al empleo público en la AGE. (OEP 2023 y 2024)</w:t>
                      </w:r>
                    </w:p>
                    <w:p w14:paraId="5F8CFA6A" w14:textId="50F97428" w:rsidR="00663BFF" w:rsidRPr="00663BFF" w:rsidRDefault="00663BFF" w:rsidP="00663BFF">
                      <w:pPr>
                        <w:jc w:val="both"/>
                        <w:rPr>
                          <w:rFonts w:ascii="Arial" w:hAnsi="Arial" w:cs="Arial"/>
                          <w:color w:val="FFFFFF" w:themeColor="background1"/>
                          <w:sz w:val="36"/>
                          <w:szCs w:val="36"/>
                        </w:rPr>
                      </w:pPr>
                      <w:r w:rsidRPr="00663BFF">
                        <w:rPr>
                          <w:rFonts w:ascii="Arial" w:hAnsi="Arial" w:cs="Arial"/>
                          <w:color w:val="FFFFFF" w:themeColor="background1"/>
                          <w:sz w:val="36"/>
                          <w:szCs w:val="36"/>
                        </w:rPr>
                        <w:t>RESUMEN DEL INFORME SOBRE EL ACCESO DE LAS PERSONAS CON DISCAPACIDAD AL EMPLEO PÚBLICO EN LA ADMINISTRACIÓN DEL ESTADO</w:t>
                      </w:r>
                      <w:r>
                        <w:rPr>
                          <w:rFonts w:ascii="Arial" w:hAnsi="Arial" w:cs="Arial"/>
                          <w:color w:val="FFFFFF" w:themeColor="background1"/>
                          <w:sz w:val="36"/>
                          <w:szCs w:val="36"/>
                        </w:rPr>
                        <w:t>. OCTUBRE 2025</w:t>
                      </w:r>
                    </w:p>
                  </w:txbxContent>
                </v:textbox>
              </v:shape>
            </w:pict>
          </mc:Fallback>
        </mc:AlternateContent>
      </w:r>
      <w:r w:rsidR="00FC0CBD" w:rsidRPr="00D916C8">
        <w:rPr>
          <w:rFonts w:ascii="Arial" w:hAnsi="Arial" w:cs="Arial"/>
          <w:noProof/>
          <w:sz w:val="21"/>
          <w:szCs w:val="21"/>
          <w:lang w:val="en-US"/>
        </w:rPr>
        <w:drawing>
          <wp:anchor distT="0" distB="0" distL="114300" distR="114300" simplePos="0" relativeHeight="251679744" behindDoc="1" locked="0" layoutInCell="1" allowOverlap="1" wp14:anchorId="099BE1A1" wp14:editId="2DCB0F04">
            <wp:simplePos x="0" y="0"/>
            <wp:positionH relativeFrom="page">
              <wp:posOffset>215900</wp:posOffset>
            </wp:positionH>
            <wp:positionV relativeFrom="paragraph">
              <wp:posOffset>6997700</wp:posOffset>
            </wp:positionV>
            <wp:extent cx="2767330" cy="488950"/>
            <wp:effectExtent l="0" t="0" r="0" b="6350"/>
            <wp:wrapThrough wrapText="bothSides">
              <wp:wrapPolygon edited="0">
                <wp:start x="0" y="0"/>
                <wp:lineTo x="0" y="21039"/>
                <wp:lineTo x="21412" y="21039"/>
                <wp:lineTo x="21412" y="0"/>
                <wp:lineTo x="0" y="0"/>
              </wp:wrapPolygon>
            </wp:wrapThrough>
            <wp:docPr id="2143411612" name="Imagen 15" descr="Logotipo de Real Patronato sobre Discapacid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411612" name="Imagen 15" descr="Logotipo de Real Patronato sobre Discapacidad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7330" cy="48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1D64" w:rsidRPr="00336BCF">
        <w:rPr>
          <w:rFonts w:ascii="Arial" w:hAnsi="Arial" w:cs="Arial"/>
          <w:noProof/>
          <w:sz w:val="21"/>
          <w:szCs w:val="21"/>
          <w:lang w:val="es-ES"/>
        </w:rPr>
        <w:drawing>
          <wp:anchor distT="0" distB="0" distL="114300" distR="114300" simplePos="0" relativeHeight="251677696" behindDoc="0" locked="0" layoutInCell="1" allowOverlap="1" wp14:anchorId="392EAAB3" wp14:editId="54DCEA0A">
            <wp:simplePos x="0" y="0"/>
            <wp:positionH relativeFrom="column">
              <wp:posOffset>313146</wp:posOffset>
            </wp:positionH>
            <wp:positionV relativeFrom="paragraph">
              <wp:posOffset>533400</wp:posOffset>
            </wp:positionV>
            <wp:extent cx="4968565" cy="780947"/>
            <wp:effectExtent l="0" t="0" r="3810" b="635"/>
            <wp:wrapSquare wrapText="bothSides"/>
            <wp:docPr id="384684390" name="Imagen 7" descr="Logotipo del Observatorio Estatal de la Discapacidad. ">
              <a:extLst xmlns:a="http://schemas.openxmlformats.org/drawingml/2006/main">
                <a:ext uri="{FF2B5EF4-FFF2-40B4-BE49-F238E27FC236}">
                  <a16:creationId xmlns:a16="http://schemas.microsoft.com/office/drawing/2014/main" id="{AF3BEC75-CB7C-E7B6-F713-FE1D10F7FB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84390" name="Imagen 7" descr="Logotipo del Observatorio Estatal de la Discapacidad. ">
                      <a:extLst>
                        <a:ext uri="{FF2B5EF4-FFF2-40B4-BE49-F238E27FC236}">
                          <a16:creationId xmlns:a16="http://schemas.microsoft.com/office/drawing/2014/main" id="{AF3BEC75-CB7C-E7B6-F713-FE1D10F7FBDC}"/>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b="6334"/>
                    <a:stretch/>
                  </pic:blipFill>
                  <pic:spPr bwMode="auto">
                    <a:xfrm>
                      <a:off x="0" y="0"/>
                      <a:ext cx="4968565" cy="7809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7784">
        <w:rPr>
          <w:rFonts w:ascii="Arial" w:hAnsi="Arial" w:cs="Arial"/>
          <w:noProof/>
          <w:sz w:val="21"/>
          <w:szCs w:val="21"/>
          <w:lang w:val="en-US"/>
        </w:rPr>
        <w:drawing>
          <wp:anchor distT="0" distB="0" distL="114300" distR="114300" simplePos="0" relativeHeight="251658240" behindDoc="1" locked="0" layoutInCell="1" allowOverlap="1" wp14:anchorId="6D74AE0B" wp14:editId="51D7999C">
            <wp:simplePos x="0" y="0"/>
            <wp:positionH relativeFrom="column">
              <wp:posOffset>-900430</wp:posOffset>
            </wp:positionH>
            <wp:positionV relativeFrom="page">
              <wp:posOffset>0</wp:posOffset>
            </wp:positionV>
            <wp:extent cx="7541260" cy="10672445"/>
            <wp:effectExtent l="0" t="0" r="254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1260" cy="10672445"/>
                    </a:xfrm>
                    <a:prstGeom prst="rect">
                      <a:avLst/>
                    </a:prstGeom>
                  </pic:spPr>
                </pic:pic>
              </a:graphicData>
            </a:graphic>
            <wp14:sizeRelH relativeFrom="page">
              <wp14:pctWidth>0</wp14:pctWidth>
            </wp14:sizeRelH>
            <wp14:sizeRelV relativeFrom="page">
              <wp14:pctHeight>0</wp14:pctHeight>
            </wp14:sizeRelV>
          </wp:anchor>
        </w:drawing>
      </w:r>
      <w:r w:rsidR="00662842">
        <w:rPr>
          <w:rFonts w:ascii="Arial" w:hAnsi="Arial" w:cs="Arial"/>
          <w:sz w:val="21"/>
          <w:szCs w:val="21"/>
          <w:lang w:val="en-US"/>
        </w:rPr>
        <w:br w:type="page"/>
      </w:r>
    </w:p>
    <w:p w14:paraId="00BD2C9B" w14:textId="03B5B1CF" w:rsidR="00FC0CBD" w:rsidRPr="00256208" w:rsidRDefault="00663BFF" w:rsidP="006E0EA2">
      <w:pPr>
        <w:pStyle w:val="Ningnestilodeprrafo"/>
        <w:spacing w:after="240" w:line="276" w:lineRule="auto"/>
        <w:rPr>
          <w:rFonts w:ascii="Arial" w:hAnsi="Arial" w:cs="Arial"/>
          <w:b/>
          <w:bCs/>
          <w:sz w:val="28"/>
          <w:szCs w:val="28"/>
          <w:lang w:val="es-ES"/>
        </w:rPr>
      </w:pPr>
      <w:bookmarkStart w:id="0" w:name="_Hlk213777266"/>
      <w:r w:rsidRPr="00256208">
        <w:rPr>
          <w:rFonts w:ascii="Arial" w:hAnsi="Arial" w:cs="Arial"/>
          <w:b/>
          <w:bCs/>
          <w:sz w:val="28"/>
          <w:szCs w:val="28"/>
          <w:lang w:val="es-ES"/>
        </w:rPr>
        <w:lastRenderedPageBreak/>
        <w:t>Introducción</w:t>
      </w:r>
    </w:p>
    <w:p w14:paraId="63A2B28E" w14:textId="2C861C3D" w:rsidR="006E0EA2" w:rsidRPr="00256208" w:rsidRDefault="00256208" w:rsidP="00256208">
      <w:pPr>
        <w:pStyle w:val="Ningnestilodeprrafo"/>
        <w:spacing w:after="240" w:line="276" w:lineRule="auto"/>
        <w:jc w:val="both"/>
        <w:rPr>
          <w:rFonts w:ascii="Arial" w:hAnsi="Arial" w:cs="Arial"/>
          <w:sz w:val="21"/>
          <w:szCs w:val="21"/>
          <w:lang w:val="es-ES"/>
        </w:rPr>
      </w:pPr>
      <w:r w:rsidRPr="00256208">
        <w:rPr>
          <w:rFonts w:ascii="Arial" w:hAnsi="Arial" w:cs="Arial"/>
          <w:sz w:val="21"/>
          <w:szCs w:val="21"/>
          <w:lang w:val="es-ES"/>
        </w:rPr>
        <w:t xml:space="preserve">Este </w:t>
      </w:r>
      <w:proofErr w:type="spellStart"/>
      <w:r w:rsidRPr="00256208">
        <w:rPr>
          <w:rFonts w:ascii="Arial" w:hAnsi="Arial" w:cs="Arial"/>
          <w:sz w:val="21"/>
          <w:szCs w:val="21"/>
          <w:lang w:val="es-ES"/>
        </w:rPr>
        <w:t>microinforme</w:t>
      </w:r>
      <w:proofErr w:type="spellEnd"/>
      <w:r w:rsidRPr="00256208">
        <w:rPr>
          <w:rFonts w:ascii="Arial" w:hAnsi="Arial" w:cs="Arial"/>
          <w:sz w:val="21"/>
          <w:szCs w:val="21"/>
          <w:lang w:val="es-ES"/>
        </w:rPr>
        <w:t xml:space="preserve"> </w:t>
      </w:r>
      <w:r>
        <w:rPr>
          <w:rFonts w:ascii="Arial" w:hAnsi="Arial" w:cs="Arial"/>
          <w:sz w:val="21"/>
          <w:szCs w:val="21"/>
          <w:lang w:val="es-ES"/>
        </w:rPr>
        <w:t>ofrece un resumen</w:t>
      </w:r>
      <w:r w:rsidRPr="00256208">
        <w:rPr>
          <w:rFonts w:ascii="Arial" w:hAnsi="Arial" w:cs="Arial"/>
          <w:sz w:val="21"/>
          <w:szCs w:val="21"/>
          <w:lang w:val="es-ES"/>
        </w:rPr>
        <w:t xml:space="preserve"> </w:t>
      </w:r>
      <w:r>
        <w:rPr>
          <w:rFonts w:ascii="Arial" w:hAnsi="Arial" w:cs="Arial"/>
          <w:sz w:val="21"/>
          <w:szCs w:val="21"/>
          <w:lang w:val="es-ES"/>
        </w:rPr>
        <w:t xml:space="preserve">con los datos más destacados </w:t>
      </w:r>
      <w:r w:rsidRPr="00256208">
        <w:rPr>
          <w:rFonts w:ascii="Arial" w:hAnsi="Arial" w:cs="Arial"/>
          <w:sz w:val="21"/>
          <w:szCs w:val="21"/>
          <w:lang w:val="es-ES"/>
        </w:rPr>
        <w:t xml:space="preserve">del </w:t>
      </w:r>
      <w:r w:rsidRPr="0040042D">
        <w:rPr>
          <w:rFonts w:ascii="Arial" w:hAnsi="Arial" w:cs="Arial"/>
          <w:i/>
          <w:iCs/>
          <w:sz w:val="21"/>
          <w:szCs w:val="21"/>
          <w:lang w:val="es-ES"/>
        </w:rPr>
        <w:t xml:space="preserve">“Informe sobre el acceso de las personas con discapacidad al empleo público en la AGE. Ofertas de Empleo Público (OEP) 2023 y 2024 – </w:t>
      </w:r>
      <w:r w:rsidR="0040042D" w:rsidRPr="0040042D">
        <w:rPr>
          <w:rFonts w:ascii="Arial" w:hAnsi="Arial" w:cs="Arial"/>
          <w:i/>
          <w:iCs/>
          <w:sz w:val="21"/>
          <w:szCs w:val="21"/>
          <w:lang w:val="es-ES"/>
        </w:rPr>
        <w:t>OCTUBRE</w:t>
      </w:r>
      <w:r w:rsidRPr="0040042D">
        <w:rPr>
          <w:rFonts w:ascii="Arial" w:hAnsi="Arial" w:cs="Arial"/>
          <w:i/>
          <w:iCs/>
          <w:sz w:val="21"/>
          <w:szCs w:val="21"/>
          <w:lang w:val="es-ES"/>
        </w:rPr>
        <w:t xml:space="preserve"> 2025</w:t>
      </w:r>
      <w:r w:rsidR="0040042D" w:rsidRPr="0040042D">
        <w:rPr>
          <w:rFonts w:ascii="Arial" w:hAnsi="Arial" w:cs="Arial"/>
          <w:i/>
          <w:iCs/>
          <w:sz w:val="21"/>
          <w:szCs w:val="21"/>
          <w:lang w:val="es-ES"/>
        </w:rPr>
        <w:t>”</w:t>
      </w:r>
      <w:r>
        <w:rPr>
          <w:rFonts w:ascii="Arial" w:hAnsi="Arial" w:cs="Arial"/>
          <w:sz w:val="21"/>
          <w:szCs w:val="21"/>
          <w:lang w:val="es-ES"/>
        </w:rPr>
        <w:t xml:space="preserve">. </w:t>
      </w:r>
    </w:p>
    <w:p w14:paraId="037E7499" w14:textId="46BAC470" w:rsidR="001B2516" w:rsidRPr="00256208" w:rsidRDefault="00944F0D" w:rsidP="001B2516">
      <w:pPr>
        <w:pStyle w:val="Ningnestilodeprrafo"/>
        <w:spacing w:after="240" w:line="276" w:lineRule="auto"/>
        <w:rPr>
          <w:rFonts w:ascii="Arial" w:hAnsi="Arial" w:cs="Arial"/>
          <w:b/>
          <w:bCs/>
          <w:sz w:val="28"/>
          <w:szCs w:val="28"/>
          <w:lang w:val="es-ES"/>
        </w:rPr>
      </w:pPr>
      <w:r>
        <w:rPr>
          <w:rFonts w:ascii="Arial" w:hAnsi="Arial" w:cs="Arial"/>
          <w:b/>
          <w:bCs/>
          <w:sz w:val="28"/>
          <w:szCs w:val="28"/>
          <w:lang w:val="es-ES"/>
        </w:rPr>
        <w:t xml:space="preserve">1. </w:t>
      </w:r>
      <w:r w:rsidR="001B2516" w:rsidRPr="00256208">
        <w:rPr>
          <w:rFonts w:ascii="Arial" w:hAnsi="Arial" w:cs="Arial"/>
          <w:b/>
          <w:bCs/>
          <w:sz w:val="28"/>
          <w:szCs w:val="28"/>
          <w:lang w:val="es-ES"/>
        </w:rPr>
        <w:t>Destacados</w:t>
      </w:r>
    </w:p>
    <w:p w14:paraId="524331FC" w14:textId="2FF61AA4" w:rsidR="00944F0D" w:rsidRPr="00944F0D" w:rsidRDefault="00944F0D" w:rsidP="00944F0D">
      <w:pPr>
        <w:pStyle w:val="Ningnestilodeprrafo"/>
        <w:numPr>
          <w:ilvl w:val="0"/>
          <w:numId w:val="16"/>
        </w:numPr>
        <w:spacing w:after="240" w:line="276" w:lineRule="auto"/>
        <w:jc w:val="both"/>
        <w:rPr>
          <w:rFonts w:ascii="Arial" w:hAnsi="Arial" w:cs="Arial"/>
          <w:sz w:val="21"/>
          <w:szCs w:val="21"/>
          <w:lang w:val="es-ES"/>
        </w:rPr>
      </w:pPr>
      <w:r w:rsidRPr="00944F0D">
        <w:rPr>
          <w:rFonts w:ascii="Arial" w:hAnsi="Arial" w:cs="Arial"/>
          <w:sz w:val="21"/>
          <w:szCs w:val="21"/>
          <w:lang w:val="es-ES"/>
        </w:rPr>
        <w:t>La Oferta de Empleo Público (OEP) de 2024 es la primera en aplicar el nuevo mínimo legal de reserva del 10% (introducido por el Real Decreto-ley 6/2023), un incremento desde el 7% anterior. Este 10% se ha alcanzado principalmente gracias a las plazas de promoción interna (10.34%)</w:t>
      </w:r>
      <w:r>
        <w:rPr>
          <w:rFonts w:ascii="Arial" w:hAnsi="Arial" w:cs="Arial"/>
          <w:sz w:val="21"/>
          <w:szCs w:val="21"/>
          <w:lang w:val="es-ES"/>
        </w:rPr>
        <w:t>,</w:t>
      </w:r>
      <w:r w:rsidRPr="00944F0D">
        <w:rPr>
          <w:rFonts w:ascii="Arial" w:hAnsi="Arial" w:cs="Arial"/>
          <w:sz w:val="21"/>
          <w:szCs w:val="21"/>
          <w:lang w:val="es-ES"/>
        </w:rPr>
        <w:t xml:space="preserve"> mientras que el turno libre se situó en 7.23%.</w:t>
      </w:r>
    </w:p>
    <w:p w14:paraId="2FB22675" w14:textId="1D7F7D0B" w:rsidR="00944F0D" w:rsidRPr="00944F0D" w:rsidRDefault="00944F0D" w:rsidP="00944F0D">
      <w:pPr>
        <w:pStyle w:val="Ningnestilodeprrafo"/>
        <w:numPr>
          <w:ilvl w:val="0"/>
          <w:numId w:val="16"/>
        </w:numPr>
        <w:spacing w:after="240" w:line="276" w:lineRule="auto"/>
        <w:jc w:val="both"/>
        <w:rPr>
          <w:rFonts w:ascii="Arial" w:hAnsi="Arial" w:cs="Arial"/>
          <w:sz w:val="21"/>
          <w:szCs w:val="21"/>
          <w:lang w:val="es-ES"/>
        </w:rPr>
      </w:pPr>
      <w:r w:rsidRPr="00944F0D">
        <w:rPr>
          <w:rFonts w:ascii="Arial" w:hAnsi="Arial" w:cs="Arial"/>
          <w:sz w:val="21"/>
          <w:szCs w:val="21"/>
          <w:lang w:val="es-ES"/>
        </w:rPr>
        <w:t>Por primera vez, las mujeres con discapacidad han alcanzado y superado la paridad en los procesos de acceso libre (turno libre). En 2024, representaron el 52.15% del total de personas con discapacidad que superaron el proceso selectivo. En promoción interna, los resultados de 2024 también reflejan paridad (49.65% mujeres).</w:t>
      </w:r>
    </w:p>
    <w:p w14:paraId="524323DF" w14:textId="00FFBB00" w:rsidR="00944F0D" w:rsidRPr="00944F0D" w:rsidRDefault="00944F0D" w:rsidP="00944F0D">
      <w:pPr>
        <w:pStyle w:val="Ningnestilodeprrafo"/>
        <w:numPr>
          <w:ilvl w:val="0"/>
          <w:numId w:val="16"/>
        </w:numPr>
        <w:spacing w:after="240" w:line="276" w:lineRule="auto"/>
        <w:jc w:val="both"/>
        <w:rPr>
          <w:rFonts w:ascii="Arial" w:hAnsi="Arial" w:cs="Arial"/>
          <w:sz w:val="21"/>
          <w:szCs w:val="21"/>
          <w:lang w:val="es-ES"/>
        </w:rPr>
      </w:pPr>
      <w:r w:rsidRPr="00944F0D">
        <w:rPr>
          <w:rFonts w:ascii="Arial" w:hAnsi="Arial" w:cs="Arial"/>
          <w:sz w:val="21"/>
          <w:szCs w:val="21"/>
          <w:lang w:val="es-ES"/>
        </w:rPr>
        <w:t>La cobertura real de las plazas reservadas es un desafío crítico. En promoción interna (PI), la cobertura media en 2024 fue de solo un 14.01%. En acceso libre, la media (47.20%) oculta disparidades extremas: mientras los cuerpos generales (Administrativo y Auxiliar) superaron el 100% de cobertura</w:t>
      </w:r>
      <w:r>
        <w:rPr>
          <w:rFonts w:ascii="Arial" w:hAnsi="Arial" w:cs="Arial"/>
          <w:sz w:val="21"/>
          <w:szCs w:val="21"/>
          <w:lang w:val="es-ES"/>
        </w:rPr>
        <w:t>,</w:t>
      </w:r>
      <w:r w:rsidRPr="00944F0D">
        <w:rPr>
          <w:rFonts w:ascii="Arial" w:hAnsi="Arial" w:cs="Arial"/>
          <w:sz w:val="21"/>
          <w:szCs w:val="21"/>
          <w:lang w:val="es-ES"/>
        </w:rPr>
        <w:t xml:space="preserve"> los cuerpos superiores (como CSACE) registraron un 0.00%.</w:t>
      </w:r>
    </w:p>
    <w:p w14:paraId="2663985F" w14:textId="025C7FBB" w:rsidR="00944F0D" w:rsidRPr="00944F0D" w:rsidRDefault="00944F0D" w:rsidP="00944F0D">
      <w:pPr>
        <w:pStyle w:val="Ningnestilodeprrafo"/>
        <w:numPr>
          <w:ilvl w:val="0"/>
          <w:numId w:val="16"/>
        </w:numPr>
        <w:spacing w:after="240" w:line="276" w:lineRule="auto"/>
        <w:jc w:val="both"/>
        <w:rPr>
          <w:rFonts w:ascii="Arial" w:hAnsi="Arial" w:cs="Arial"/>
          <w:sz w:val="21"/>
          <w:szCs w:val="21"/>
          <w:lang w:val="es-ES"/>
        </w:rPr>
      </w:pPr>
      <w:r w:rsidRPr="00944F0D">
        <w:rPr>
          <w:rFonts w:ascii="Arial" w:hAnsi="Arial" w:cs="Arial"/>
          <w:sz w:val="21"/>
          <w:szCs w:val="21"/>
          <w:lang w:val="es-ES"/>
        </w:rPr>
        <w:t>El informe registra un avance significativo en 2024: por primera vez se han ofertado plazas para personas con discapacidad intelectual en la promoción interna del personal laboral fijo. No obstante, en los cuerpos de funcionarios, estas plazas siguen concentradas en el subgrupo C2 y ausentes en los grupos superiores (A1, A2 y C1).</w:t>
      </w:r>
    </w:p>
    <w:p w14:paraId="2E0C078C" w14:textId="11BC0BB7" w:rsidR="00663BFF" w:rsidRPr="00256208" w:rsidRDefault="00944F0D" w:rsidP="00944F0D">
      <w:pPr>
        <w:pStyle w:val="Ningnestilodeprrafo"/>
        <w:numPr>
          <w:ilvl w:val="0"/>
          <w:numId w:val="16"/>
        </w:numPr>
        <w:spacing w:after="240" w:line="276" w:lineRule="auto"/>
        <w:jc w:val="both"/>
        <w:rPr>
          <w:rFonts w:ascii="Arial" w:hAnsi="Arial" w:cs="Arial"/>
          <w:sz w:val="21"/>
          <w:szCs w:val="21"/>
          <w:lang w:val="es-ES"/>
        </w:rPr>
      </w:pPr>
      <w:r w:rsidRPr="00944F0D">
        <w:rPr>
          <w:rFonts w:ascii="Arial" w:hAnsi="Arial" w:cs="Arial"/>
          <w:sz w:val="21"/>
          <w:szCs w:val="21"/>
          <w:lang w:val="es-ES"/>
        </w:rPr>
        <w:t>Aunque la tasa de concesión de adaptaciones es sistemáticamente alta (100% para adaptaciones de medios y más del 79% para tiempos en 2024), el informe revela que menos de la mitad de las personas aspirantes por el cupo de discapacidad las solicitan.</w:t>
      </w:r>
    </w:p>
    <w:p w14:paraId="4F74D58D" w14:textId="4670AC30" w:rsidR="00944F0D" w:rsidRDefault="001B2516" w:rsidP="00944F0D">
      <w:pPr>
        <w:pStyle w:val="Ningnestilodeprrafo"/>
        <w:spacing w:after="240" w:line="276" w:lineRule="auto"/>
        <w:jc w:val="both"/>
        <w:rPr>
          <w:rFonts w:ascii="Arial" w:hAnsi="Arial" w:cs="Arial"/>
          <w:b/>
          <w:bCs/>
          <w:sz w:val="28"/>
          <w:szCs w:val="28"/>
          <w:lang w:val="es-ES"/>
        </w:rPr>
      </w:pPr>
      <w:r w:rsidRPr="007F40EE">
        <w:rPr>
          <w:rFonts w:ascii="Arial" w:hAnsi="Arial" w:cs="Arial"/>
          <w:b/>
          <w:bCs/>
          <w:sz w:val="28"/>
          <w:szCs w:val="28"/>
          <w:lang w:val="es-ES"/>
        </w:rPr>
        <w:t xml:space="preserve">2. </w:t>
      </w:r>
      <w:r w:rsidR="00944F0D" w:rsidRPr="00944F0D">
        <w:rPr>
          <w:rFonts w:ascii="Arial" w:hAnsi="Arial" w:cs="Arial"/>
          <w:b/>
          <w:bCs/>
          <w:sz w:val="28"/>
          <w:szCs w:val="28"/>
          <w:lang w:val="es-ES"/>
        </w:rPr>
        <w:t xml:space="preserve">La </w:t>
      </w:r>
      <w:r w:rsidR="00944F0D">
        <w:rPr>
          <w:rFonts w:ascii="Arial" w:hAnsi="Arial" w:cs="Arial"/>
          <w:b/>
          <w:bCs/>
          <w:sz w:val="28"/>
          <w:szCs w:val="28"/>
          <w:lang w:val="es-ES"/>
        </w:rPr>
        <w:t>n</w:t>
      </w:r>
      <w:r w:rsidR="00944F0D" w:rsidRPr="00944F0D">
        <w:rPr>
          <w:rFonts w:ascii="Arial" w:hAnsi="Arial" w:cs="Arial"/>
          <w:b/>
          <w:bCs/>
          <w:sz w:val="28"/>
          <w:szCs w:val="28"/>
          <w:lang w:val="es-ES"/>
        </w:rPr>
        <w:t xml:space="preserve">ueva </w:t>
      </w:r>
      <w:r w:rsidR="00944F0D">
        <w:rPr>
          <w:rFonts w:ascii="Arial" w:hAnsi="Arial" w:cs="Arial"/>
          <w:b/>
          <w:bCs/>
          <w:sz w:val="28"/>
          <w:szCs w:val="28"/>
          <w:lang w:val="es-ES"/>
        </w:rPr>
        <w:t>c</w:t>
      </w:r>
      <w:r w:rsidR="00944F0D" w:rsidRPr="00944F0D">
        <w:rPr>
          <w:rFonts w:ascii="Arial" w:hAnsi="Arial" w:cs="Arial"/>
          <w:b/>
          <w:bCs/>
          <w:sz w:val="28"/>
          <w:szCs w:val="28"/>
          <w:lang w:val="es-ES"/>
        </w:rPr>
        <w:t xml:space="preserve">uota de </w:t>
      </w:r>
      <w:r w:rsidR="00944F0D">
        <w:rPr>
          <w:rFonts w:ascii="Arial" w:hAnsi="Arial" w:cs="Arial"/>
          <w:b/>
          <w:bCs/>
          <w:sz w:val="28"/>
          <w:szCs w:val="28"/>
          <w:lang w:val="es-ES"/>
        </w:rPr>
        <w:t>r</w:t>
      </w:r>
      <w:r w:rsidR="00944F0D" w:rsidRPr="00944F0D">
        <w:rPr>
          <w:rFonts w:ascii="Arial" w:hAnsi="Arial" w:cs="Arial"/>
          <w:b/>
          <w:bCs/>
          <w:sz w:val="28"/>
          <w:szCs w:val="28"/>
          <w:lang w:val="es-ES"/>
        </w:rPr>
        <w:t xml:space="preserve">eserva: </w:t>
      </w:r>
      <w:r w:rsidR="00944F0D">
        <w:rPr>
          <w:rFonts w:ascii="Arial" w:hAnsi="Arial" w:cs="Arial"/>
          <w:b/>
          <w:bCs/>
          <w:sz w:val="28"/>
          <w:szCs w:val="28"/>
          <w:lang w:val="es-ES"/>
        </w:rPr>
        <w:t>a</w:t>
      </w:r>
      <w:r w:rsidR="00944F0D" w:rsidRPr="00944F0D">
        <w:rPr>
          <w:rFonts w:ascii="Arial" w:hAnsi="Arial" w:cs="Arial"/>
          <w:b/>
          <w:bCs/>
          <w:sz w:val="28"/>
          <w:szCs w:val="28"/>
          <w:lang w:val="es-ES"/>
        </w:rPr>
        <w:t xml:space="preserve">nálisis de </w:t>
      </w:r>
      <w:r w:rsidR="00944F0D">
        <w:rPr>
          <w:rFonts w:ascii="Arial" w:hAnsi="Arial" w:cs="Arial"/>
          <w:b/>
          <w:bCs/>
          <w:sz w:val="28"/>
          <w:szCs w:val="28"/>
          <w:lang w:val="es-ES"/>
        </w:rPr>
        <w:t>p</w:t>
      </w:r>
      <w:r w:rsidR="00944F0D" w:rsidRPr="00944F0D">
        <w:rPr>
          <w:rFonts w:ascii="Arial" w:hAnsi="Arial" w:cs="Arial"/>
          <w:b/>
          <w:bCs/>
          <w:sz w:val="28"/>
          <w:szCs w:val="28"/>
          <w:lang w:val="es-ES"/>
        </w:rPr>
        <w:t xml:space="preserve">lazas </w:t>
      </w:r>
      <w:r w:rsidR="00944F0D">
        <w:rPr>
          <w:rFonts w:ascii="Arial" w:hAnsi="Arial" w:cs="Arial"/>
          <w:b/>
          <w:bCs/>
          <w:sz w:val="28"/>
          <w:szCs w:val="28"/>
          <w:lang w:val="es-ES"/>
        </w:rPr>
        <w:t>o</w:t>
      </w:r>
      <w:r w:rsidR="00944F0D" w:rsidRPr="00944F0D">
        <w:rPr>
          <w:rFonts w:ascii="Arial" w:hAnsi="Arial" w:cs="Arial"/>
          <w:b/>
          <w:bCs/>
          <w:sz w:val="28"/>
          <w:szCs w:val="28"/>
          <w:lang w:val="es-ES"/>
        </w:rPr>
        <w:t>fertadas (OEP)</w:t>
      </w:r>
    </w:p>
    <w:p w14:paraId="488F8277" w14:textId="17E0C784" w:rsidR="00944F0D" w:rsidRDefault="00944F0D" w:rsidP="00944F0D">
      <w:pPr>
        <w:pStyle w:val="Ningnestilodeprrafo"/>
        <w:spacing w:after="240" w:line="276" w:lineRule="auto"/>
        <w:jc w:val="both"/>
        <w:rPr>
          <w:rFonts w:ascii="Arial" w:hAnsi="Arial" w:cs="Arial"/>
          <w:sz w:val="21"/>
          <w:szCs w:val="21"/>
          <w:lang w:val="es-ES"/>
        </w:rPr>
      </w:pPr>
      <w:r w:rsidRPr="00944F0D">
        <w:rPr>
          <w:rFonts w:ascii="Arial" w:hAnsi="Arial" w:cs="Arial"/>
          <w:sz w:val="21"/>
          <w:szCs w:val="21"/>
          <w:lang w:val="es-ES"/>
        </w:rPr>
        <w:t>El periodo 2023-2024 marca una transición legislativa. La OEP 2023 se rigió por la cuota de reserva del 7%</w:t>
      </w:r>
      <w:r>
        <w:rPr>
          <w:rFonts w:ascii="Arial" w:hAnsi="Arial" w:cs="Arial"/>
          <w:sz w:val="21"/>
          <w:szCs w:val="21"/>
          <w:lang w:val="es-ES"/>
        </w:rPr>
        <w:t>,</w:t>
      </w:r>
      <w:r w:rsidRPr="00944F0D">
        <w:rPr>
          <w:rFonts w:ascii="Arial" w:hAnsi="Arial" w:cs="Arial"/>
          <w:sz w:val="21"/>
          <w:szCs w:val="21"/>
          <w:lang w:val="es-ES"/>
        </w:rPr>
        <w:t xml:space="preserve"> mientras que la OEP 2024 fue la primera en aplicar el nuevo umbral del 10%.</w:t>
      </w:r>
    </w:p>
    <w:p w14:paraId="58CF301B" w14:textId="491E902A" w:rsidR="00944F0D" w:rsidRPr="00944F0D" w:rsidRDefault="00944F0D" w:rsidP="00944F0D">
      <w:pPr>
        <w:pStyle w:val="Ningnestilodeprrafo"/>
        <w:spacing w:after="240" w:line="276" w:lineRule="auto"/>
        <w:rPr>
          <w:rFonts w:ascii="Arial" w:hAnsi="Arial" w:cs="Arial"/>
          <w:b/>
          <w:bCs/>
          <w:sz w:val="21"/>
          <w:szCs w:val="21"/>
          <w:lang w:val="es-ES"/>
        </w:rPr>
      </w:pPr>
      <w:r w:rsidRPr="00944F0D">
        <w:rPr>
          <w:rFonts w:ascii="Arial" w:hAnsi="Arial" w:cs="Arial"/>
          <w:b/>
          <w:bCs/>
          <w:sz w:val="21"/>
          <w:szCs w:val="21"/>
          <w:lang w:val="es-ES"/>
        </w:rPr>
        <w:t>Personal funcionario (datos de OEP)</w:t>
      </w:r>
    </w:p>
    <w:p w14:paraId="6AA5A26D" w14:textId="1F755BF2" w:rsidR="00944F0D" w:rsidRDefault="00944F0D" w:rsidP="00944F0D">
      <w:pPr>
        <w:pStyle w:val="Ningnestilodeprrafo"/>
        <w:spacing w:after="240" w:line="276" w:lineRule="auto"/>
        <w:rPr>
          <w:rFonts w:ascii="Arial" w:hAnsi="Arial" w:cs="Arial"/>
          <w:sz w:val="21"/>
          <w:szCs w:val="21"/>
          <w:lang w:val="es-ES"/>
        </w:rPr>
      </w:pPr>
      <w:r w:rsidRPr="00944F0D">
        <w:rPr>
          <w:rFonts w:ascii="Arial" w:hAnsi="Arial" w:cs="Arial"/>
          <w:sz w:val="21"/>
          <w:szCs w:val="21"/>
          <w:lang w:val="es-ES"/>
        </w:rPr>
        <w:t>En el turno de acceso libre, el número de plazas reservadas para discapacidad general aumentó de 687 (un 4.99% del total de esa OEP) en 2023 a 1,032 (un 7.23% del total) en 2024.</w:t>
      </w:r>
    </w:p>
    <w:p w14:paraId="16D38193" w14:textId="77777777" w:rsidR="00DB6432" w:rsidRDefault="00DB6432" w:rsidP="00944F0D">
      <w:pPr>
        <w:pStyle w:val="Ningnestilodeprrafo"/>
        <w:spacing w:after="240" w:line="276" w:lineRule="auto"/>
        <w:rPr>
          <w:rFonts w:ascii="Arial" w:hAnsi="Arial" w:cs="Arial"/>
          <w:sz w:val="21"/>
          <w:szCs w:val="21"/>
          <w:lang w:val="es-ES"/>
        </w:rPr>
      </w:pPr>
    </w:p>
    <w:p w14:paraId="73B7AD3E" w14:textId="77777777" w:rsidR="00DB6432" w:rsidRDefault="00DB6432" w:rsidP="00944F0D">
      <w:pPr>
        <w:pStyle w:val="Ningnestilodeprrafo"/>
        <w:spacing w:after="240" w:line="276" w:lineRule="auto"/>
        <w:rPr>
          <w:rFonts w:ascii="Arial" w:hAnsi="Arial" w:cs="Arial"/>
          <w:sz w:val="21"/>
          <w:szCs w:val="21"/>
          <w:lang w:val="es-ES"/>
        </w:rPr>
      </w:pPr>
    </w:p>
    <w:p w14:paraId="46BDCFE4" w14:textId="79930FE0" w:rsidR="00DB6432" w:rsidRDefault="00DB6432" w:rsidP="00944F0D">
      <w:pPr>
        <w:pStyle w:val="Ningnestilodeprrafo"/>
        <w:spacing w:after="240" w:line="276" w:lineRule="auto"/>
        <w:rPr>
          <w:rFonts w:ascii="Arial" w:hAnsi="Arial" w:cs="Arial"/>
          <w:sz w:val="21"/>
          <w:szCs w:val="21"/>
          <w:lang w:val="es-ES"/>
        </w:rPr>
      </w:pPr>
      <w:r>
        <w:rPr>
          <w:rFonts w:ascii="Arial" w:hAnsi="Arial" w:cs="Arial"/>
          <w:noProof/>
          <w:sz w:val="21"/>
          <w:szCs w:val="21"/>
          <w:lang w:val="es-ES"/>
        </w:rPr>
        <w:lastRenderedPageBreak/>
        <w:drawing>
          <wp:anchor distT="0" distB="0" distL="114300" distR="114300" simplePos="0" relativeHeight="251680768" behindDoc="0" locked="0" layoutInCell="1" allowOverlap="1" wp14:anchorId="748F526A" wp14:editId="32283191">
            <wp:simplePos x="0" y="0"/>
            <wp:positionH relativeFrom="column">
              <wp:posOffset>419253</wp:posOffset>
            </wp:positionH>
            <wp:positionV relativeFrom="paragraph">
              <wp:posOffset>19659</wp:posOffset>
            </wp:positionV>
            <wp:extent cx="4743588" cy="3021926"/>
            <wp:effectExtent l="19050" t="19050" r="19050" b="26670"/>
            <wp:wrapSquare wrapText="bothSides"/>
            <wp:docPr id="333825449" name="Imagen 5" descr="Gráfica de columnas. Comparación del % de reserva en turno libre: 4,99% (2023) y 7,23%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825449" name="Imagen 5" descr="Gráfica de columnas. Comparación del % de reserva en turno libre: 4,99% (2023) y 7,23% (20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3588" cy="3021926"/>
                    </a:xfrm>
                    <a:prstGeom prst="rect">
                      <a:avLst/>
                    </a:prstGeom>
                    <a:noFill/>
                    <a:ln>
                      <a:solidFill>
                        <a:schemeClr val="bg1">
                          <a:lumMod val="75000"/>
                        </a:schemeClr>
                      </a:solidFill>
                    </a:ln>
                  </pic:spPr>
                </pic:pic>
              </a:graphicData>
            </a:graphic>
          </wp:anchor>
        </w:drawing>
      </w:r>
    </w:p>
    <w:p w14:paraId="13E9CA15" w14:textId="77777777" w:rsidR="00DB6432" w:rsidRDefault="00DB6432" w:rsidP="00944F0D">
      <w:pPr>
        <w:pStyle w:val="Ningnestilodeprrafo"/>
        <w:spacing w:after="240" w:line="276" w:lineRule="auto"/>
        <w:rPr>
          <w:rFonts w:ascii="Arial" w:hAnsi="Arial" w:cs="Arial"/>
          <w:sz w:val="21"/>
          <w:szCs w:val="21"/>
          <w:lang w:val="es-ES"/>
        </w:rPr>
      </w:pPr>
    </w:p>
    <w:p w14:paraId="19B92F23" w14:textId="77777777" w:rsidR="00DB6432" w:rsidRDefault="00DB6432" w:rsidP="00944F0D">
      <w:pPr>
        <w:pStyle w:val="Ningnestilodeprrafo"/>
        <w:spacing w:after="240" w:line="276" w:lineRule="auto"/>
        <w:rPr>
          <w:rFonts w:ascii="Arial" w:hAnsi="Arial" w:cs="Arial"/>
          <w:sz w:val="21"/>
          <w:szCs w:val="21"/>
          <w:lang w:val="es-ES"/>
        </w:rPr>
      </w:pPr>
    </w:p>
    <w:p w14:paraId="514DF256" w14:textId="77777777" w:rsidR="00DB6432" w:rsidRDefault="00DB6432" w:rsidP="00944F0D">
      <w:pPr>
        <w:pStyle w:val="Ningnestilodeprrafo"/>
        <w:spacing w:after="240" w:line="276" w:lineRule="auto"/>
        <w:rPr>
          <w:rFonts w:ascii="Arial" w:hAnsi="Arial" w:cs="Arial"/>
          <w:sz w:val="21"/>
          <w:szCs w:val="21"/>
          <w:lang w:val="es-ES"/>
        </w:rPr>
      </w:pPr>
    </w:p>
    <w:p w14:paraId="368B1456" w14:textId="77777777" w:rsidR="00DB6432" w:rsidRDefault="00DB6432" w:rsidP="00944F0D">
      <w:pPr>
        <w:pStyle w:val="Ningnestilodeprrafo"/>
        <w:spacing w:after="240" w:line="276" w:lineRule="auto"/>
        <w:rPr>
          <w:rFonts w:ascii="Arial" w:hAnsi="Arial" w:cs="Arial"/>
          <w:sz w:val="21"/>
          <w:szCs w:val="21"/>
          <w:lang w:val="es-ES"/>
        </w:rPr>
      </w:pPr>
    </w:p>
    <w:p w14:paraId="2EE7BCE9" w14:textId="77777777" w:rsidR="00DB6432" w:rsidRDefault="00DB6432" w:rsidP="00944F0D">
      <w:pPr>
        <w:pStyle w:val="Ningnestilodeprrafo"/>
        <w:spacing w:after="240" w:line="276" w:lineRule="auto"/>
        <w:rPr>
          <w:rFonts w:ascii="Arial" w:hAnsi="Arial" w:cs="Arial"/>
          <w:sz w:val="21"/>
          <w:szCs w:val="21"/>
          <w:lang w:val="es-ES"/>
        </w:rPr>
      </w:pPr>
    </w:p>
    <w:p w14:paraId="3EB24958" w14:textId="77777777" w:rsidR="00DB6432" w:rsidRDefault="00DB6432" w:rsidP="00944F0D">
      <w:pPr>
        <w:pStyle w:val="Ningnestilodeprrafo"/>
        <w:spacing w:after="240" w:line="276" w:lineRule="auto"/>
        <w:rPr>
          <w:rFonts w:ascii="Arial" w:hAnsi="Arial" w:cs="Arial"/>
          <w:sz w:val="21"/>
          <w:szCs w:val="21"/>
          <w:lang w:val="es-ES"/>
        </w:rPr>
      </w:pPr>
    </w:p>
    <w:p w14:paraId="1EB850D3" w14:textId="77777777" w:rsidR="00DB6432" w:rsidRDefault="00DB6432" w:rsidP="00944F0D">
      <w:pPr>
        <w:pStyle w:val="Ningnestilodeprrafo"/>
        <w:spacing w:after="240" w:line="276" w:lineRule="auto"/>
        <w:rPr>
          <w:rFonts w:ascii="Arial" w:hAnsi="Arial" w:cs="Arial"/>
          <w:sz w:val="21"/>
          <w:szCs w:val="21"/>
          <w:lang w:val="es-ES"/>
        </w:rPr>
      </w:pPr>
    </w:p>
    <w:p w14:paraId="3B335E12" w14:textId="77777777" w:rsidR="00DB6432" w:rsidRDefault="00DB6432" w:rsidP="00944F0D">
      <w:pPr>
        <w:pStyle w:val="Ningnestilodeprrafo"/>
        <w:spacing w:after="240" w:line="276" w:lineRule="auto"/>
        <w:rPr>
          <w:rFonts w:ascii="Arial" w:hAnsi="Arial" w:cs="Arial"/>
          <w:sz w:val="21"/>
          <w:szCs w:val="21"/>
          <w:lang w:val="es-ES"/>
        </w:rPr>
      </w:pPr>
    </w:p>
    <w:p w14:paraId="7503A545" w14:textId="77777777" w:rsidR="00DB6432" w:rsidRPr="00DB6432" w:rsidRDefault="00DB6432" w:rsidP="00DB6432">
      <w:pPr>
        <w:pStyle w:val="Ningnestilodeprrafo"/>
        <w:spacing w:after="240" w:line="276" w:lineRule="auto"/>
        <w:contextualSpacing/>
        <w:rPr>
          <w:rFonts w:ascii="Arial" w:hAnsi="Arial" w:cs="Arial"/>
          <w:sz w:val="16"/>
          <w:szCs w:val="16"/>
          <w:lang w:val="es-ES"/>
        </w:rPr>
      </w:pPr>
    </w:p>
    <w:p w14:paraId="70BD6E53" w14:textId="6C54B5DA" w:rsidR="00DB6432" w:rsidRPr="00DB6432" w:rsidRDefault="00DB6432" w:rsidP="00DB6432">
      <w:pPr>
        <w:pStyle w:val="Ningnestilodeprrafo"/>
        <w:spacing w:after="240" w:line="276" w:lineRule="auto"/>
        <w:ind w:left="708"/>
        <w:contextualSpacing/>
        <w:jc w:val="center"/>
        <w:rPr>
          <w:rFonts w:ascii="Arial" w:hAnsi="Arial" w:cs="Arial"/>
          <w:sz w:val="18"/>
          <w:szCs w:val="18"/>
          <w:lang w:val="es-ES"/>
        </w:rPr>
      </w:pPr>
      <w:r>
        <w:rPr>
          <w:rFonts w:ascii="Arial" w:hAnsi="Arial" w:cs="Arial"/>
          <w:sz w:val="18"/>
          <w:szCs w:val="18"/>
          <w:lang w:val="es-ES"/>
        </w:rPr>
        <w:t>Fuente: elaboración propia a partir de los datos del Informe</w:t>
      </w:r>
    </w:p>
    <w:p w14:paraId="0658AFE6" w14:textId="77777777" w:rsidR="00DB6432" w:rsidRDefault="00DB6432" w:rsidP="00944F0D">
      <w:pPr>
        <w:pStyle w:val="Ningnestilodeprrafo"/>
        <w:spacing w:after="240" w:line="276" w:lineRule="auto"/>
        <w:jc w:val="both"/>
        <w:rPr>
          <w:rFonts w:ascii="Arial" w:hAnsi="Arial" w:cs="Arial"/>
          <w:sz w:val="21"/>
          <w:szCs w:val="21"/>
          <w:lang w:val="es-ES"/>
        </w:rPr>
      </w:pPr>
    </w:p>
    <w:p w14:paraId="2F7F0C87" w14:textId="50DE9721" w:rsidR="00944F0D" w:rsidRDefault="00944F0D" w:rsidP="00944F0D">
      <w:pPr>
        <w:pStyle w:val="Ningnestilodeprrafo"/>
        <w:spacing w:after="240" w:line="276" w:lineRule="auto"/>
        <w:jc w:val="both"/>
        <w:rPr>
          <w:rFonts w:ascii="Arial" w:hAnsi="Arial" w:cs="Arial"/>
          <w:sz w:val="21"/>
          <w:szCs w:val="21"/>
          <w:lang w:val="es-ES"/>
        </w:rPr>
      </w:pPr>
      <w:r w:rsidRPr="00944F0D">
        <w:rPr>
          <w:rFonts w:ascii="Arial" w:hAnsi="Arial" w:cs="Arial"/>
          <w:sz w:val="21"/>
          <w:szCs w:val="21"/>
          <w:lang w:val="es-ES"/>
        </w:rPr>
        <w:t>En la promoción interna, el impacto de la nueva cuota fue más notable. El total de plazas reservadas (discapacidad general e intelectual) pasó de 592 (7.50% del total) en 2023 a 841 (10.34% del total) en 2024. El informe muestra que el objetivo legal del 10% en 2024 se ha alcanzado gracias al incremento en esta modalidad de acceso</w:t>
      </w:r>
      <w:r>
        <w:rPr>
          <w:rFonts w:ascii="Arial" w:hAnsi="Arial" w:cs="Arial"/>
          <w:sz w:val="21"/>
          <w:szCs w:val="21"/>
          <w:lang w:val="es-ES"/>
        </w:rPr>
        <w:t>.</w:t>
      </w:r>
    </w:p>
    <w:p w14:paraId="5A0FAE05" w14:textId="4B97FFE8" w:rsidR="00DB6432" w:rsidRDefault="00DB6432" w:rsidP="00944F0D">
      <w:pPr>
        <w:pStyle w:val="Ningnestilodeprrafo"/>
        <w:spacing w:after="240" w:line="276" w:lineRule="auto"/>
        <w:jc w:val="both"/>
        <w:rPr>
          <w:rFonts w:ascii="Arial" w:hAnsi="Arial" w:cs="Arial"/>
          <w:sz w:val="21"/>
          <w:szCs w:val="21"/>
          <w:lang w:val="es-ES"/>
        </w:rPr>
      </w:pPr>
      <w:r>
        <w:rPr>
          <w:rFonts w:ascii="Arial" w:hAnsi="Arial" w:cs="Arial"/>
          <w:noProof/>
          <w:sz w:val="21"/>
          <w:szCs w:val="21"/>
          <w:lang w:val="es-ES"/>
        </w:rPr>
        <w:drawing>
          <wp:anchor distT="0" distB="0" distL="114300" distR="114300" simplePos="0" relativeHeight="251681792" behindDoc="0" locked="0" layoutInCell="1" allowOverlap="1" wp14:anchorId="6460A441" wp14:editId="68EB28A1">
            <wp:simplePos x="0" y="0"/>
            <wp:positionH relativeFrom="column">
              <wp:posOffset>540690</wp:posOffset>
            </wp:positionH>
            <wp:positionV relativeFrom="paragraph">
              <wp:posOffset>30531</wp:posOffset>
            </wp:positionV>
            <wp:extent cx="4495826" cy="2830393"/>
            <wp:effectExtent l="19050" t="19050" r="19050" b="27305"/>
            <wp:wrapSquare wrapText="bothSides"/>
            <wp:docPr id="314879293" name="Imagen 6" descr="Gráfica de columnas. Columnas 2023–2024 con 7,50% y 10,34% de rese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79293" name="Imagen 6" descr="Gráfica de columnas. Columnas 2023–2024 con 7,50% y 10,34% de reserv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95826" cy="2830393"/>
                    </a:xfrm>
                    <a:prstGeom prst="rect">
                      <a:avLst/>
                    </a:prstGeom>
                    <a:noFill/>
                    <a:ln>
                      <a:solidFill>
                        <a:schemeClr val="bg1">
                          <a:lumMod val="75000"/>
                        </a:schemeClr>
                      </a:solidFill>
                    </a:ln>
                  </pic:spPr>
                </pic:pic>
              </a:graphicData>
            </a:graphic>
          </wp:anchor>
        </w:drawing>
      </w:r>
    </w:p>
    <w:p w14:paraId="0EA0BC92" w14:textId="77777777" w:rsidR="00DB6432" w:rsidRDefault="00DB6432" w:rsidP="00944F0D">
      <w:pPr>
        <w:pStyle w:val="Ningnestilodeprrafo"/>
        <w:spacing w:after="240" w:line="276" w:lineRule="auto"/>
        <w:jc w:val="both"/>
        <w:rPr>
          <w:rFonts w:ascii="Arial" w:hAnsi="Arial" w:cs="Arial"/>
          <w:sz w:val="21"/>
          <w:szCs w:val="21"/>
          <w:lang w:val="es-ES"/>
        </w:rPr>
      </w:pPr>
    </w:p>
    <w:p w14:paraId="20DAFF1D" w14:textId="77777777" w:rsidR="00DB6432" w:rsidRDefault="00DB6432" w:rsidP="00944F0D">
      <w:pPr>
        <w:pStyle w:val="Ningnestilodeprrafo"/>
        <w:spacing w:after="240" w:line="276" w:lineRule="auto"/>
        <w:jc w:val="both"/>
        <w:rPr>
          <w:rFonts w:ascii="Arial" w:hAnsi="Arial" w:cs="Arial"/>
          <w:b/>
          <w:bCs/>
          <w:sz w:val="21"/>
          <w:szCs w:val="21"/>
          <w:lang w:val="es-ES"/>
        </w:rPr>
      </w:pPr>
    </w:p>
    <w:p w14:paraId="36CDEEA3" w14:textId="77777777" w:rsidR="00DB6432" w:rsidRDefault="00DB6432" w:rsidP="00944F0D">
      <w:pPr>
        <w:pStyle w:val="Ningnestilodeprrafo"/>
        <w:spacing w:after="240" w:line="276" w:lineRule="auto"/>
        <w:jc w:val="both"/>
        <w:rPr>
          <w:rFonts w:ascii="Arial" w:hAnsi="Arial" w:cs="Arial"/>
          <w:b/>
          <w:bCs/>
          <w:sz w:val="21"/>
          <w:szCs w:val="21"/>
          <w:lang w:val="es-ES"/>
        </w:rPr>
      </w:pPr>
    </w:p>
    <w:p w14:paraId="218C9F24" w14:textId="77777777" w:rsidR="00DB6432" w:rsidRDefault="00DB6432" w:rsidP="00944F0D">
      <w:pPr>
        <w:pStyle w:val="Ningnestilodeprrafo"/>
        <w:spacing w:after="240" w:line="276" w:lineRule="auto"/>
        <w:jc w:val="both"/>
        <w:rPr>
          <w:rFonts w:ascii="Arial" w:hAnsi="Arial" w:cs="Arial"/>
          <w:b/>
          <w:bCs/>
          <w:sz w:val="21"/>
          <w:szCs w:val="21"/>
          <w:lang w:val="es-ES"/>
        </w:rPr>
      </w:pPr>
    </w:p>
    <w:p w14:paraId="6C9A4B07" w14:textId="77777777" w:rsidR="00DB6432" w:rsidRDefault="00DB6432" w:rsidP="00944F0D">
      <w:pPr>
        <w:pStyle w:val="Ningnestilodeprrafo"/>
        <w:spacing w:after="240" w:line="276" w:lineRule="auto"/>
        <w:jc w:val="both"/>
        <w:rPr>
          <w:rFonts w:ascii="Arial" w:hAnsi="Arial" w:cs="Arial"/>
          <w:b/>
          <w:bCs/>
          <w:sz w:val="21"/>
          <w:szCs w:val="21"/>
          <w:lang w:val="es-ES"/>
        </w:rPr>
      </w:pPr>
    </w:p>
    <w:p w14:paraId="26E64347" w14:textId="77777777" w:rsidR="00DB6432" w:rsidRDefault="00DB6432" w:rsidP="00944F0D">
      <w:pPr>
        <w:pStyle w:val="Ningnestilodeprrafo"/>
        <w:spacing w:after="240" w:line="276" w:lineRule="auto"/>
        <w:jc w:val="both"/>
        <w:rPr>
          <w:rFonts w:ascii="Arial" w:hAnsi="Arial" w:cs="Arial"/>
          <w:b/>
          <w:bCs/>
          <w:sz w:val="21"/>
          <w:szCs w:val="21"/>
          <w:lang w:val="es-ES"/>
        </w:rPr>
      </w:pPr>
    </w:p>
    <w:p w14:paraId="7124DA14" w14:textId="77777777" w:rsidR="00DB6432" w:rsidRDefault="00DB6432" w:rsidP="00944F0D">
      <w:pPr>
        <w:pStyle w:val="Ningnestilodeprrafo"/>
        <w:spacing w:after="240" w:line="276" w:lineRule="auto"/>
        <w:jc w:val="both"/>
        <w:rPr>
          <w:rFonts w:ascii="Arial" w:hAnsi="Arial" w:cs="Arial"/>
          <w:b/>
          <w:bCs/>
          <w:sz w:val="21"/>
          <w:szCs w:val="21"/>
          <w:lang w:val="es-ES"/>
        </w:rPr>
      </w:pPr>
    </w:p>
    <w:p w14:paraId="015BD254" w14:textId="77777777" w:rsidR="00DB6432" w:rsidRDefault="00DB6432" w:rsidP="00944F0D">
      <w:pPr>
        <w:pStyle w:val="Ningnestilodeprrafo"/>
        <w:spacing w:after="240" w:line="276" w:lineRule="auto"/>
        <w:jc w:val="both"/>
        <w:rPr>
          <w:rFonts w:ascii="Arial" w:hAnsi="Arial" w:cs="Arial"/>
          <w:b/>
          <w:bCs/>
          <w:sz w:val="21"/>
          <w:szCs w:val="21"/>
          <w:lang w:val="es-ES"/>
        </w:rPr>
      </w:pPr>
    </w:p>
    <w:p w14:paraId="1087243B" w14:textId="77777777" w:rsidR="00DB6432" w:rsidRPr="00DB6432" w:rsidRDefault="00DB6432" w:rsidP="00DB6432">
      <w:pPr>
        <w:pStyle w:val="Ningnestilodeprrafo"/>
        <w:spacing w:after="240" w:line="276" w:lineRule="auto"/>
        <w:ind w:left="708"/>
        <w:contextualSpacing/>
        <w:jc w:val="center"/>
        <w:rPr>
          <w:rFonts w:ascii="Arial" w:hAnsi="Arial" w:cs="Arial"/>
          <w:sz w:val="18"/>
          <w:szCs w:val="18"/>
          <w:lang w:val="es-ES"/>
        </w:rPr>
      </w:pPr>
      <w:r>
        <w:rPr>
          <w:rFonts w:ascii="Arial" w:hAnsi="Arial" w:cs="Arial"/>
          <w:sz w:val="18"/>
          <w:szCs w:val="18"/>
          <w:lang w:val="es-ES"/>
        </w:rPr>
        <w:t>Fuente: elaboración propia a partir de los datos del Informe</w:t>
      </w:r>
    </w:p>
    <w:p w14:paraId="501A72B8" w14:textId="77777777" w:rsidR="00DB6432" w:rsidRDefault="00DB6432" w:rsidP="00944F0D">
      <w:pPr>
        <w:pStyle w:val="Ningnestilodeprrafo"/>
        <w:spacing w:after="240" w:line="276" w:lineRule="auto"/>
        <w:jc w:val="both"/>
        <w:rPr>
          <w:rFonts w:ascii="Arial" w:hAnsi="Arial" w:cs="Arial"/>
          <w:sz w:val="21"/>
          <w:szCs w:val="21"/>
          <w:lang w:val="es-ES"/>
        </w:rPr>
      </w:pPr>
    </w:p>
    <w:p w14:paraId="42BABB4A" w14:textId="77777777" w:rsidR="0040042D" w:rsidRPr="00DB6432" w:rsidRDefault="0040042D" w:rsidP="00944F0D">
      <w:pPr>
        <w:pStyle w:val="Ningnestilodeprrafo"/>
        <w:spacing w:after="240" w:line="276" w:lineRule="auto"/>
        <w:jc w:val="both"/>
        <w:rPr>
          <w:rFonts w:ascii="Arial" w:hAnsi="Arial" w:cs="Arial"/>
          <w:sz w:val="21"/>
          <w:szCs w:val="21"/>
          <w:lang w:val="es-ES"/>
        </w:rPr>
      </w:pPr>
    </w:p>
    <w:p w14:paraId="3D302317" w14:textId="2DCF361D" w:rsidR="00944F0D" w:rsidRPr="00944F0D" w:rsidRDefault="00944F0D" w:rsidP="00944F0D">
      <w:pPr>
        <w:pStyle w:val="Ningnestilodeprrafo"/>
        <w:spacing w:after="240" w:line="276" w:lineRule="auto"/>
        <w:jc w:val="both"/>
        <w:rPr>
          <w:rFonts w:ascii="Arial" w:hAnsi="Arial" w:cs="Arial"/>
          <w:b/>
          <w:bCs/>
          <w:sz w:val="21"/>
          <w:szCs w:val="21"/>
          <w:lang w:val="es-ES"/>
        </w:rPr>
      </w:pPr>
      <w:r w:rsidRPr="00944F0D">
        <w:rPr>
          <w:rFonts w:ascii="Arial" w:hAnsi="Arial" w:cs="Arial"/>
          <w:b/>
          <w:bCs/>
          <w:sz w:val="21"/>
          <w:szCs w:val="21"/>
          <w:lang w:val="es-ES"/>
        </w:rPr>
        <w:lastRenderedPageBreak/>
        <w:t xml:space="preserve">Personal </w:t>
      </w:r>
      <w:r>
        <w:rPr>
          <w:rFonts w:ascii="Arial" w:hAnsi="Arial" w:cs="Arial"/>
          <w:b/>
          <w:bCs/>
          <w:sz w:val="21"/>
          <w:szCs w:val="21"/>
          <w:lang w:val="es-ES"/>
        </w:rPr>
        <w:t>l</w:t>
      </w:r>
      <w:r w:rsidRPr="00944F0D">
        <w:rPr>
          <w:rFonts w:ascii="Arial" w:hAnsi="Arial" w:cs="Arial"/>
          <w:b/>
          <w:bCs/>
          <w:sz w:val="21"/>
          <w:szCs w:val="21"/>
          <w:lang w:val="es-ES"/>
        </w:rPr>
        <w:t xml:space="preserve">aboral </w:t>
      </w:r>
      <w:r>
        <w:rPr>
          <w:rFonts w:ascii="Arial" w:hAnsi="Arial" w:cs="Arial"/>
          <w:b/>
          <w:bCs/>
          <w:sz w:val="21"/>
          <w:szCs w:val="21"/>
          <w:lang w:val="es-ES"/>
        </w:rPr>
        <w:t>f</w:t>
      </w:r>
      <w:r w:rsidRPr="00944F0D">
        <w:rPr>
          <w:rFonts w:ascii="Arial" w:hAnsi="Arial" w:cs="Arial"/>
          <w:b/>
          <w:bCs/>
          <w:sz w:val="21"/>
          <w:szCs w:val="21"/>
          <w:lang w:val="es-ES"/>
        </w:rPr>
        <w:t>ijo (</w:t>
      </w:r>
      <w:r>
        <w:rPr>
          <w:rFonts w:ascii="Arial" w:hAnsi="Arial" w:cs="Arial"/>
          <w:b/>
          <w:bCs/>
          <w:sz w:val="21"/>
          <w:szCs w:val="21"/>
          <w:lang w:val="es-ES"/>
        </w:rPr>
        <w:t>d</w:t>
      </w:r>
      <w:r w:rsidRPr="00944F0D">
        <w:rPr>
          <w:rFonts w:ascii="Arial" w:hAnsi="Arial" w:cs="Arial"/>
          <w:b/>
          <w:bCs/>
          <w:sz w:val="21"/>
          <w:szCs w:val="21"/>
          <w:lang w:val="es-ES"/>
        </w:rPr>
        <w:t>atos de OEP)</w:t>
      </w:r>
    </w:p>
    <w:p w14:paraId="35CAB029" w14:textId="7ABEF122" w:rsidR="00944F0D" w:rsidRDefault="00944F0D" w:rsidP="00944F0D">
      <w:pPr>
        <w:pStyle w:val="Ningnestilodeprrafo"/>
        <w:spacing w:after="240" w:line="276" w:lineRule="auto"/>
        <w:jc w:val="both"/>
        <w:rPr>
          <w:rFonts w:ascii="Arial" w:hAnsi="Arial" w:cs="Arial"/>
          <w:sz w:val="21"/>
          <w:szCs w:val="21"/>
          <w:lang w:val="es-ES"/>
        </w:rPr>
      </w:pPr>
      <w:r w:rsidRPr="00944F0D">
        <w:rPr>
          <w:rFonts w:ascii="Arial" w:hAnsi="Arial" w:cs="Arial"/>
          <w:sz w:val="21"/>
          <w:szCs w:val="21"/>
          <w:lang w:val="es-ES"/>
        </w:rPr>
        <w:t>La reserva de plazas para personal laboral fijo se ha situado de forma consistente muy por encima del mínimo legal:</w:t>
      </w:r>
    </w:p>
    <w:p w14:paraId="5FDA7D3B" w14:textId="37D1C825" w:rsidR="00944F0D" w:rsidRDefault="00944F0D" w:rsidP="00944F0D">
      <w:pPr>
        <w:pStyle w:val="Ningnestilodeprrafo"/>
        <w:spacing w:after="240" w:line="276" w:lineRule="auto"/>
        <w:contextualSpacing/>
        <w:jc w:val="both"/>
        <w:rPr>
          <w:rFonts w:ascii="Arial" w:hAnsi="Arial" w:cs="Arial"/>
          <w:sz w:val="21"/>
          <w:szCs w:val="21"/>
        </w:rPr>
      </w:pPr>
      <w:r w:rsidRPr="00944F0D">
        <w:rPr>
          <w:rFonts w:ascii="Arial" w:hAnsi="Arial" w:cs="Arial"/>
          <w:sz w:val="21"/>
          <w:szCs w:val="21"/>
        </w:rPr>
        <w:t xml:space="preserve">Nuevo </w:t>
      </w:r>
      <w:r>
        <w:rPr>
          <w:rFonts w:ascii="Arial" w:hAnsi="Arial" w:cs="Arial"/>
          <w:sz w:val="21"/>
          <w:szCs w:val="21"/>
        </w:rPr>
        <w:t>i</w:t>
      </w:r>
      <w:r w:rsidRPr="00944F0D">
        <w:rPr>
          <w:rFonts w:ascii="Arial" w:hAnsi="Arial" w:cs="Arial"/>
          <w:sz w:val="21"/>
          <w:szCs w:val="21"/>
        </w:rPr>
        <w:t>ngreso:</w:t>
      </w:r>
    </w:p>
    <w:p w14:paraId="5798B582" w14:textId="77777777" w:rsidR="0040042D" w:rsidRPr="00944F0D" w:rsidRDefault="0040042D" w:rsidP="00944F0D">
      <w:pPr>
        <w:pStyle w:val="Ningnestilodeprrafo"/>
        <w:spacing w:after="240" w:line="276" w:lineRule="auto"/>
        <w:contextualSpacing/>
        <w:jc w:val="both"/>
        <w:rPr>
          <w:rFonts w:ascii="Arial" w:hAnsi="Arial" w:cs="Arial"/>
          <w:sz w:val="21"/>
          <w:szCs w:val="21"/>
        </w:rPr>
      </w:pPr>
    </w:p>
    <w:p w14:paraId="40C0EC10" w14:textId="77777777" w:rsidR="00944F0D" w:rsidRPr="00944F0D" w:rsidRDefault="00944F0D" w:rsidP="0040042D">
      <w:pPr>
        <w:pStyle w:val="Ningnestilodeprrafo"/>
        <w:numPr>
          <w:ilvl w:val="0"/>
          <w:numId w:val="24"/>
        </w:numPr>
        <w:spacing w:after="240" w:line="276" w:lineRule="auto"/>
        <w:contextualSpacing/>
        <w:jc w:val="both"/>
        <w:rPr>
          <w:rFonts w:ascii="Arial" w:hAnsi="Arial" w:cs="Arial"/>
          <w:sz w:val="21"/>
          <w:szCs w:val="21"/>
        </w:rPr>
      </w:pPr>
      <w:r w:rsidRPr="00944F0D">
        <w:rPr>
          <w:rFonts w:ascii="Arial" w:hAnsi="Arial" w:cs="Arial"/>
          <w:sz w:val="21"/>
          <w:szCs w:val="21"/>
        </w:rPr>
        <w:t>2023: 419 plazas reservadas (118 general + 301 intelectual), representando un 22.15% del total.</w:t>
      </w:r>
    </w:p>
    <w:p w14:paraId="22836996" w14:textId="77777777" w:rsidR="00944F0D" w:rsidRPr="00944F0D" w:rsidRDefault="00944F0D" w:rsidP="0040042D">
      <w:pPr>
        <w:pStyle w:val="Ningnestilodeprrafo"/>
        <w:numPr>
          <w:ilvl w:val="0"/>
          <w:numId w:val="24"/>
        </w:numPr>
        <w:spacing w:after="240" w:line="276" w:lineRule="auto"/>
        <w:contextualSpacing/>
        <w:jc w:val="both"/>
        <w:rPr>
          <w:rFonts w:ascii="Arial" w:hAnsi="Arial" w:cs="Arial"/>
          <w:sz w:val="21"/>
          <w:szCs w:val="21"/>
        </w:rPr>
      </w:pPr>
      <w:r w:rsidRPr="00944F0D">
        <w:rPr>
          <w:rFonts w:ascii="Arial" w:hAnsi="Arial" w:cs="Arial"/>
          <w:sz w:val="21"/>
          <w:szCs w:val="21"/>
        </w:rPr>
        <w:t>2024: 583 plazas reservadas (288 general + 295 intelectual), representando un 23.82% del total.</w:t>
      </w:r>
    </w:p>
    <w:p w14:paraId="02B6C7CD" w14:textId="77777777" w:rsidR="00B23D99" w:rsidRDefault="00B23D99" w:rsidP="00944F0D">
      <w:pPr>
        <w:pStyle w:val="Ningnestilodeprrafo"/>
        <w:spacing w:after="240" w:line="276" w:lineRule="auto"/>
        <w:contextualSpacing/>
        <w:jc w:val="both"/>
        <w:rPr>
          <w:rFonts w:ascii="Arial" w:hAnsi="Arial" w:cs="Arial"/>
          <w:sz w:val="21"/>
          <w:szCs w:val="21"/>
        </w:rPr>
      </w:pPr>
    </w:p>
    <w:p w14:paraId="23C2AABE" w14:textId="5C31EF50" w:rsidR="00944F0D" w:rsidRPr="00944F0D" w:rsidRDefault="00944F0D" w:rsidP="00944F0D">
      <w:pPr>
        <w:pStyle w:val="Ningnestilodeprrafo"/>
        <w:spacing w:after="240" w:line="276" w:lineRule="auto"/>
        <w:contextualSpacing/>
        <w:jc w:val="both"/>
        <w:rPr>
          <w:rFonts w:ascii="Arial" w:hAnsi="Arial" w:cs="Arial"/>
          <w:sz w:val="21"/>
          <w:szCs w:val="21"/>
        </w:rPr>
      </w:pPr>
      <w:r w:rsidRPr="00944F0D">
        <w:rPr>
          <w:rFonts w:ascii="Arial" w:hAnsi="Arial" w:cs="Arial"/>
          <w:sz w:val="21"/>
          <w:szCs w:val="21"/>
        </w:rPr>
        <w:t xml:space="preserve">Promoción </w:t>
      </w:r>
      <w:r>
        <w:rPr>
          <w:rFonts w:ascii="Arial" w:hAnsi="Arial" w:cs="Arial"/>
          <w:sz w:val="21"/>
          <w:szCs w:val="21"/>
        </w:rPr>
        <w:t>i</w:t>
      </w:r>
      <w:r w:rsidRPr="00944F0D">
        <w:rPr>
          <w:rFonts w:ascii="Arial" w:hAnsi="Arial" w:cs="Arial"/>
          <w:sz w:val="21"/>
          <w:szCs w:val="21"/>
        </w:rPr>
        <w:t>nterna:</w:t>
      </w:r>
    </w:p>
    <w:p w14:paraId="54466114" w14:textId="77777777" w:rsidR="0040042D" w:rsidRDefault="0040042D" w:rsidP="00944F0D">
      <w:pPr>
        <w:pStyle w:val="Ningnestilodeprrafo"/>
        <w:spacing w:after="240" w:line="276" w:lineRule="auto"/>
        <w:ind w:left="708"/>
        <w:contextualSpacing/>
        <w:jc w:val="both"/>
        <w:rPr>
          <w:rFonts w:ascii="Arial" w:hAnsi="Arial" w:cs="Arial"/>
          <w:sz w:val="21"/>
          <w:szCs w:val="21"/>
        </w:rPr>
      </w:pPr>
    </w:p>
    <w:p w14:paraId="00E3419F" w14:textId="18782594" w:rsidR="00944F0D" w:rsidRDefault="00944F0D" w:rsidP="00944F0D">
      <w:pPr>
        <w:pStyle w:val="Ningnestilodeprrafo"/>
        <w:spacing w:after="240" w:line="276" w:lineRule="auto"/>
        <w:ind w:left="708"/>
        <w:contextualSpacing/>
        <w:jc w:val="both"/>
        <w:rPr>
          <w:rFonts w:ascii="Arial" w:hAnsi="Arial" w:cs="Arial"/>
          <w:sz w:val="21"/>
          <w:szCs w:val="21"/>
        </w:rPr>
      </w:pPr>
      <w:r w:rsidRPr="00944F0D">
        <w:rPr>
          <w:rFonts w:ascii="Arial" w:hAnsi="Arial" w:cs="Arial"/>
          <w:sz w:val="21"/>
          <w:szCs w:val="21"/>
        </w:rPr>
        <w:t>2024: Se reservaron 272 plazas (135 general + 137 intelectual), un 16.96% del total de la promoción</w:t>
      </w:r>
      <w:r>
        <w:rPr>
          <w:rFonts w:ascii="Arial" w:hAnsi="Arial" w:cs="Arial"/>
          <w:sz w:val="21"/>
          <w:szCs w:val="21"/>
        </w:rPr>
        <w:t>.</w:t>
      </w:r>
    </w:p>
    <w:p w14:paraId="23A663C1" w14:textId="77777777" w:rsidR="00944F0D" w:rsidRPr="00944F0D" w:rsidRDefault="00944F0D" w:rsidP="00944F0D">
      <w:pPr>
        <w:pStyle w:val="Ningnestilodeprrafo"/>
        <w:spacing w:after="240" w:line="276" w:lineRule="auto"/>
        <w:contextualSpacing/>
        <w:jc w:val="both"/>
        <w:rPr>
          <w:rFonts w:ascii="Arial" w:hAnsi="Arial" w:cs="Arial"/>
          <w:sz w:val="21"/>
          <w:szCs w:val="21"/>
        </w:rPr>
      </w:pPr>
    </w:p>
    <w:p w14:paraId="680EEAF2" w14:textId="5E588D24" w:rsidR="001B2516" w:rsidRPr="00944F0D" w:rsidRDefault="001B2516" w:rsidP="001B2516">
      <w:pPr>
        <w:pStyle w:val="Ningnestilodeprrafo"/>
        <w:spacing w:after="240" w:line="276" w:lineRule="auto"/>
        <w:rPr>
          <w:rFonts w:ascii="Arial" w:hAnsi="Arial" w:cs="Arial"/>
          <w:sz w:val="21"/>
          <w:szCs w:val="21"/>
          <w:lang w:val="es-ES"/>
        </w:rPr>
      </w:pPr>
      <w:r w:rsidRPr="00944F0D">
        <w:rPr>
          <w:rFonts w:ascii="Arial" w:hAnsi="Arial" w:cs="Arial"/>
          <w:b/>
          <w:bCs/>
          <w:sz w:val="28"/>
          <w:szCs w:val="28"/>
          <w:lang w:val="es-ES"/>
        </w:rPr>
        <w:t>3. Cobertura de plazas</w:t>
      </w:r>
    </w:p>
    <w:p w14:paraId="16D4B21A" w14:textId="6668D24C" w:rsidR="001B2516" w:rsidRDefault="00944F0D" w:rsidP="00944F0D">
      <w:pPr>
        <w:pStyle w:val="Ningnestilodeprrafo"/>
        <w:spacing w:after="240" w:line="276" w:lineRule="auto"/>
        <w:jc w:val="both"/>
        <w:rPr>
          <w:rFonts w:ascii="Arial" w:hAnsi="Arial" w:cs="Arial"/>
          <w:sz w:val="21"/>
          <w:szCs w:val="21"/>
          <w:lang w:val="es-ES"/>
        </w:rPr>
      </w:pPr>
      <w:r w:rsidRPr="00944F0D">
        <w:rPr>
          <w:rFonts w:ascii="Arial" w:hAnsi="Arial" w:cs="Arial"/>
          <w:sz w:val="21"/>
          <w:szCs w:val="21"/>
          <w:lang w:val="es-ES"/>
        </w:rPr>
        <w:t>El informe diferencia las plazas ofertadas (OEP) de las plazas convocadas en procesos selectivos, que a menudo acumulan plazas de varias OEP. El análisis de cobertura se basa en los resultados de estos procesos (en muchos casos, datos de quienes superan el primer ejercicio, al estar los procesos aún en curso).</w:t>
      </w:r>
    </w:p>
    <w:p w14:paraId="53D49272" w14:textId="2F73294F" w:rsidR="00ED0557" w:rsidRDefault="00ED0557" w:rsidP="00944F0D">
      <w:pPr>
        <w:pStyle w:val="Ningnestilodeprrafo"/>
        <w:spacing w:after="240" w:line="276" w:lineRule="auto"/>
        <w:jc w:val="both"/>
        <w:rPr>
          <w:rFonts w:ascii="Arial" w:hAnsi="Arial" w:cs="Arial"/>
          <w:sz w:val="21"/>
          <w:szCs w:val="21"/>
          <w:lang w:val="es-ES"/>
        </w:rPr>
      </w:pPr>
      <w:r>
        <w:rPr>
          <w:rFonts w:ascii="Arial" w:hAnsi="Arial" w:cs="Arial"/>
          <w:noProof/>
          <w:sz w:val="21"/>
          <w:szCs w:val="21"/>
          <w:lang w:val="es-ES"/>
        </w:rPr>
        <w:drawing>
          <wp:anchor distT="0" distB="0" distL="114300" distR="114300" simplePos="0" relativeHeight="251682816" behindDoc="0" locked="0" layoutInCell="1" allowOverlap="1" wp14:anchorId="3E62F217" wp14:editId="64E61CC0">
            <wp:simplePos x="0" y="0"/>
            <wp:positionH relativeFrom="column">
              <wp:posOffset>679679</wp:posOffset>
            </wp:positionH>
            <wp:positionV relativeFrom="paragraph">
              <wp:posOffset>93192</wp:posOffset>
            </wp:positionV>
            <wp:extent cx="4267981" cy="2592400"/>
            <wp:effectExtent l="19050" t="19050" r="18415" b="17780"/>
            <wp:wrapSquare wrapText="bothSides"/>
            <wp:docPr id="404099959" name="Imagen 7" descr="Gráfica de columnas agrupadas. Cobertura 2024: acceso libre 103,02% vs 47,20%; promoción interna 28,92% vs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99959" name="Imagen 7" descr="Gráfica de columnas agrupadas. Cobertura 2024: acceso libre 103,02% vs 47,20%; promoción interna 28,92% vs 14,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7981" cy="2592400"/>
                    </a:xfrm>
                    <a:prstGeom prst="rect">
                      <a:avLst/>
                    </a:prstGeom>
                    <a:noFill/>
                    <a:ln>
                      <a:solidFill>
                        <a:schemeClr val="bg1">
                          <a:lumMod val="75000"/>
                        </a:schemeClr>
                      </a:solidFill>
                    </a:ln>
                  </pic:spPr>
                </pic:pic>
              </a:graphicData>
            </a:graphic>
          </wp:anchor>
        </w:drawing>
      </w:r>
    </w:p>
    <w:p w14:paraId="1706F9F1" w14:textId="77777777" w:rsidR="00ED0557" w:rsidRDefault="00ED0557" w:rsidP="00944F0D">
      <w:pPr>
        <w:pStyle w:val="Ningnestilodeprrafo"/>
        <w:spacing w:after="240" w:line="276" w:lineRule="auto"/>
        <w:jc w:val="both"/>
        <w:rPr>
          <w:rFonts w:ascii="Arial" w:hAnsi="Arial" w:cs="Arial"/>
          <w:sz w:val="21"/>
          <w:szCs w:val="21"/>
          <w:lang w:val="es-ES"/>
        </w:rPr>
      </w:pPr>
    </w:p>
    <w:p w14:paraId="143180DF" w14:textId="77777777" w:rsidR="00ED0557" w:rsidRDefault="00ED0557" w:rsidP="00944F0D">
      <w:pPr>
        <w:pStyle w:val="Ningnestilodeprrafo"/>
        <w:spacing w:after="240" w:line="276" w:lineRule="auto"/>
        <w:jc w:val="both"/>
        <w:rPr>
          <w:rFonts w:ascii="Arial" w:hAnsi="Arial" w:cs="Arial"/>
          <w:sz w:val="21"/>
          <w:szCs w:val="21"/>
          <w:lang w:val="es-ES"/>
        </w:rPr>
      </w:pPr>
    </w:p>
    <w:p w14:paraId="3D9A4614" w14:textId="77777777" w:rsidR="00ED0557" w:rsidRDefault="00ED0557" w:rsidP="00944F0D">
      <w:pPr>
        <w:pStyle w:val="Ningnestilodeprrafo"/>
        <w:spacing w:after="240" w:line="276" w:lineRule="auto"/>
        <w:jc w:val="both"/>
        <w:rPr>
          <w:rFonts w:ascii="Arial" w:hAnsi="Arial" w:cs="Arial"/>
          <w:sz w:val="21"/>
          <w:szCs w:val="21"/>
          <w:lang w:val="es-ES"/>
        </w:rPr>
      </w:pPr>
    </w:p>
    <w:p w14:paraId="4593029B" w14:textId="77777777" w:rsidR="00ED0557" w:rsidRDefault="00ED0557" w:rsidP="00944F0D">
      <w:pPr>
        <w:pStyle w:val="Ningnestilodeprrafo"/>
        <w:spacing w:after="240" w:line="276" w:lineRule="auto"/>
        <w:jc w:val="both"/>
        <w:rPr>
          <w:rFonts w:ascii="Arial" w:hAnsi="Arial" w:cs="Arial"/>
          <w:sz w:val="21"/>
          <w:szCs w:val="21"/>
          <w:lang w:val="es-ES"/>
        </w:rPr>
      </w:pPr>
    </w:p>
    <w:p w14:paraId="77406E2A" w14:textId="77777777" w:rsidR="00ED0557" w:rsidRDefault="00ED0557" w:rsidP="00944F0D">
      <w:pPr>
        <w:pStyle w:val="Ningnestilodeprrafo"/>
        <w:spacing w:after="240" w:line="276" w:lineRule="auto"/>
        <w:jc w:val="both"/>
        <w:rPr>
          <w:rFonts w:ascii="Arial" w:hAnsi="Arial" w:cs="Arial"/>
          <w:sz w:val="21"/>
          <w:szCs w:val="21"/>
          <w:lang w:val="es-ES"/>
        </w:rPr>
      </w:pPr>
    </w:p>
    <w:p w14:paraId="1411D1FA" w14:textId="77777777" w:rsidR="00ED0557" w:rsidRDefault="00ED0557" w:rsidP="00944F0D">
      <w:pPr>
        <w:pStyle w:val="Ningnestilodeprrafo"/>
        <w:spacing w:after="240" w:line="276" w:lineRule="auto"/>
        <w:jc w:val="both"/>
        <w:rPr>
          <w:rFonts w:ascii="Arial" w:hAnsi="Arial" w:cs="Arial"/>
          <w:sz w:val="21"/>
          <w:szCs w:val="21"/>
          <w:lang w:val="es-ES"/>
        </w:rPr>
      </w:pPr>
    </w:p>
    <w:p w14:paraId="49BD2EEA" w14:textId="77777777" w:rsidR="00ED0557" w:rsidRDefault="00ED0557" w:rsidP="00944F0D">
      <w:pPr>
        <w:pStyle w:val="Ningnestilodeprrafo"/>
        <w:spacing w:after="240" w:line="276" w:lineRule="auto"/>
        <w:jc w:val="both"/>
        <w:rPr>
          <w:rFonts w:ascii="Arial" w:hAnsi="Arial" w:cs="Arial"/>
          <w:sz w:val="21"/>
          <w:szCs w:val="21"/>
          <w:lang w:val="es-ES"/>
        </w:rPr>
      </w:pPr>
    </w:p>
    <w:p w14:paraId="48734B2D" w14:textId="77777777" w:rsidR="00ED0557" w:rsidRDefault="00ED0557" w:rsidP="00ED0557">
      <w:pPr>
        <w:pStyle w:val="Ningnestilodeprrafo"/>
        <w:spacing w:after="240" w:line="276" w:lineRule="auto"/>
        <w:ind w:left="708"/>
        <w:contextualSpacing/>
        <w:jc w:val="center"/>
        <w:rPr>
          <w:rFonts w:ascii="Arial" w:hAnsi="Arial" w:cs="Arial"/>
          <w:sz w:val="18"/>
          <w:szCs w:val="18"/>
          <w:lang w:val="es-ES"/>
        </w:rPr>
      </w:pPr>
    </w:p>
    <w:p w14:paraId="4D55BAF8" w14:textId="2FED94D4" w:rsidR="00ED0557" w:rsidRPr="00DB6432" w:rsidRDefault="00ED0557" w:rsidP="00ED0557">
      <w:pPr>
        <w:pStyle w:val="Ningnestilodeprrafo"/>
        <w:spacing w:after="240" w:line="276" w:lineRule="auto"/>
        <w:ind w:left="708"/>
        <w:contextualSpacing/>
        <w:jc w:val="center"/>
        <w:rPr>
          <w:rFonts w:ascii="Arial" w:hAnsi="Arial" w:cs="Arial"/>
          <w:sz w:val="18"/>
          <w:szCs w:val="18"/>
          <w:lang w:val="es-ES"/>
        </w:rPr>
      </w:pPr>
      <w:r>
        <w:rPr>
          <w:rFonts w:ascii="Arial" w:hAnsi="Arial" w:cs="Arial"/>
          <w:sz w:val="18"/>
          <w:szCs w:val="18"/>
          <w:lang w:val="es-ES"/>
        </w:rPr>
        <w:t>Fuente: elaboración propia a partir de los datos del Informe</w:t>
      </w:r>
    </w:p>
    <w:p w14:paraId="7C62E465" w14:textId="77777777" w:rsidR="00ED0557" w:rsidRDefault="00ED0557" w:rsidP="00944F0D">
      <w:pPr>
        <w:pStyle w:val="Ningnestilodeprrafo"/>
        <w:spacing w:after="240" w:line="276" w:lineRule="auto"/>
        <w:jc w:val="both"/>
        <w:rPr>
          <w:rFonts w:ascii="Arial" w:hAnsi="Arial" w:cs="Arial"/>
          <w:sz w:val="21"/>
          <w:szCs w:val="21"/>
          <w:lang w:val="es-ES"/>
        </w:rPr>
      </w:pPr>
    </w:p>
    <w:p w14:paraId="05A1E2DE" w14:textId="1BA0D4BB" w:rsidR="00DA6C69" w:rsidRPr="00DA6C69" w:rsidRDefault="00DA6C69" w:rsidP="00DA6C69">
      <w:pPr>
        <w:pStyle w:val="Ningnestilodeprrafo"/>
        <w:spacing w:after="240" w:line="276" w:lineRule="auto"/>
        <w:jc w:val="both"/>
        <w:rPr>
          <w:rFonts w:ascii="Arial" w:hAnsi="Arial" w:cs="Arial"/>
          <w:b/>
          <w:bCs/>
          <w:sz w:val="21"/>
          <w:szCs w:val="21"/>
          <w:lang w:val="es-ES"/>
        </w:rPr>
      </w:pPr>
      <w:r w:rsidRPr="00DA6C69">
        <w:rPr>
          <w:rFonts w:ascii="Arial" w:hAnsi="Arial" w:cs="Arial"/>
          <w:b/>
          <w:bCs/>
          <w:sz w:val="21"/>
          <w:szCs w:val="21"/>
          <w:lang w:val="es-ES"/>
        </w:rPr>
        <w:t>La brecha de la promoción interna</w:t>
      </w:r>
    </w:p>
    <w:p w14:paraId="2E891F3D" w14:textId="77777777" w:rsidR="00DA6C69" w:rsidRPr="00DA6C69" w:rsidRDefault="00DA6C69" w:rsidP="00DA6C69">
      <w:pPr>
        <w:pStyle w:val="Ningnestilodeprrafo"/>
        <w:spacing w:after="240" w:line="276" w:lineRule="auto"/>
        <w:jc w:val="both"/>
        <w:rPr>
          <w:rFonts w:ascii="Arial" w:hAnsi="Arial" w:cs="Arial"/>
          <w:sz w:val="21"/>
          <w:szCs w:val="21"/>
          <w:lang w:val="es-ES"/>
        </w:rPr>
      </w:pPr>
      <w:r w:rsidRPr="00DA6C69">
        <w:rPr>
          <w:rFonts w:ascii="Arial" w:hAnsi="Arial" w:cs="Arial"/>
          <w:sz w:val="21"/>
          <w:szCs w:val="21"/>
          <w:lang w:val="es-ES"/>
        </w:rPr>
        <w:t>Los datos de 2024 para promoción interna (CRD - Cupo de Reserva por Discapacidad) muestran los resultados más bajos.</w:t>
      </w:r>
    </w:p>
    <w:p w14:paraId="068E69B7" w14:textId="77777777" w:rsidR="00DA6C69" w:rsidRPr="00DA6C69" w:rsidRDefault="00DA6C69" w:rsidP="00DA6C69">
      <w:pPr>
        <w:pStyle w:val="Ningnestilodeprrafo"/>
        <w:numPr>
          <w:ilvl w:val="0"/>
          <w:numId w:val="18"/>
        </w:numPr>
        <w:spacing w:after="240" w:line="276" w:lineRule="auto"/>
        <w:ind w:left="714" w:hanging="357"/>
        <w:contextualSpacing/>
        <w:jc w:val="both"/>
        <w:rPr>
          <w:rFonts w:ascii="Arial" w:hAnsi="Arial" w:cs="Arial"/>
          <w:sz w:val="21"/>
          <w:szCs w:val="21"/>
          <w:lang w:val="es-ES"/>
        </w:rPr>
      </w:pPr>
      <w:r w:rsidRPr="00DA6C69">
        <w:rPr>
          <w:rFonts w:ascii="Arial" w:hAnsi="Arial" w:cs="Arial"/>
          <w:sz w:val="21"/>
          <w:szCs w:val="21"/>
          <w:lang w:val="es-ES"/>
        </w:rPr>
        <w:lastRenderedPageBreak/>
        <w:t>Plazas ofertadas (PI 2024): 1,852.</w:t>
      </w:r>
    </w:p>
    <w:p w14:paraId="23BF2867" w14:textId="77777777" w:rsidR="00DA6C69" w:rsidRPr="00DA6C69" w:rsidRDefault="00DA6C69" w:rsidP="00DA6C69">
      <w:pPr>
        <w:pStyle w:val="Ningnestilodeprrafo"/>
        <w:numPr>
          <w:ilvl w:val="0"/>
          <w:numId w:val="18"/>
        </w:numPr>
        <w:spacing w:after="240" w:line="276" w:lineRule="auto"/>
        <w:ind w:left="714" w:hanging="357"/>
        <w:contextualSpacing/>
        <w:jc w:val="both"/>
        <w:rPr>
          <w:rFonts w:ascii="Arial" w:hAnsi="Arial" w:cs="Arial"/>
          <w:sz w:val="21"/>
          <w:szCs w:val="21"/>
          <w:lang w:val="es-ES"/>
        </w:rPr>
      </w:pPr>
      <w:r w:rsidRPr="00DA6C69">
        <w:rPr>
          <w:rFonts w:ascii="Arial" w:hAnsi="Arial" w:cs="Arial"/>
          <w:sz w:val="21"/>
          <w:szCs w:val="21"/>
          <w:lang w:val="es-ES"/>
        </w:rPr>
        <w:t>Personas admitidas: 370.</w:t>
      </w:r>
    </w:p>
    <w:p w14:paraId="4C6FF5A6" w14:textId="77777777" w:rsidR="00DA6C69" w:rsidRPr="00DA6C69" w:rsidRDefault="00DA6C69" w:rsidP="00DA6C69">
      <w:pPr>
        <w:pStyle w:val="Ningnestilodeprrafo"/>
        <w:numPr>
          <w:ilvl w:val="0"/>
          <w:numId w:val="18"/>
        </w:numPr>
        <w:spacing w:after="240" w:line="276" w:lineRule="auto"/>
        <w:ind w:left="714" w:hanging="357"/>
        <w:contextualSpacing/>
        <w:jc w:val="both"/>
        <w:rPr>
          <w:rFonts w:ascii="Arial" w:hAnsi="Arial" w:cs="Arial"/>
          <w:sz w:val="21"/>
          <w:szCs w:val="21"/>
          <w:lang w:val="es-ES"/>
        </w:rPr>
      </w:pPr>
      <w:r w:rsidRPr="00DA6C69">
        <w:rPr>
          <w:rFonts w:ascii="Arial" w:hAnsi="Arial" w:cs="Arial"/>
          <w:sz w:val="21"/>
          <w:szCs w:val="21"/>
          <w:lang w:val="es-ES"/>
        </w:rPr>
        <w:t>Personas que superan el 1er ejercicio: 203.</w:t>
      </w:r>
    </w:p>
    <w:p w14:paraId="27B219AB" w14:textId="77777777" w:rsidR="00DA6C69" w:rsidRPr="00DA6C69" w:rsidRDefault="00DA6C69" w:rsidP="00DA6C69">
      <w:pPr>
        <w:pStyle w:val="Ningnestilodeprrafo"/>
        <w:numPr>
          <w:ilvl w:val="0"/>
          <w:numId w:val="18"/>
        </w:numPr>
        <w:spacing w:after="240" w:line="276" w:lineRule="auto"/>
        <w:ind w:left="714" w:hanging="357"/>
        <w:contextualSpacing/>
        <w:jc w:val="both"/>
        <w:rPr>
          <w:rFonts w:ascii="Arial" w:hAnsi="Arial" w:cs="Arial"/>
          <w:sz w:val="21"/>
          <w:szCs w:val="21"/>
          <w:lang w:val="es-ES"/>
        </w:rPr>
      </w:pPr>
      <w:r w:rsidRPr="00DA6C69">
        <w:rPr>
          <w:rFonts w:ascii="Arial" w:hAnsi="Arial" w:cs="Arial"/>
          <w:sz w:val="21"/>
          <w:szCs w:val="21"/>
          <w:lang w:val="es-ES"/>
        </w:rPr>
        <w:t>Tasa de cobertura media: 14.01%.</w:t>
      </w:r>
    </w:p>
    <w:p w14:paraId="7270BFDE" w14:textId="77777777" w:rsidR="00DA6C69" w:rsidRPr="0040042D" w:rsidRDefault="00DA6C69" w:rsidP="00DA6C69">
      <w:pPr>
        <w:pStyle w:val="Ningnestilodeprrafo"/>
        <w:spacing w:after="240" w:line="276" w:lineRule="auto"/>
        <w:jc w:val="both"/>
        <w:rPr>
          <w:rFonts w:ascii="Arial" w:hAnsi="Arial" w:cs="Arial"/>
          <w:sz w:val="16"/>
          <w:szCs w:val="16"/>
          <w:lang w:val="es-ES"/>
        </w:rPr>
      </w:pPr>
    </w:p>
    <w:p w14:paraId="11E647AD" w14:textId="5DA0873B" w:rsidR="00DA6C69" w:rsidRDefault="00DA6C69" w:rsidP="00DA6C69">
      <w:pPr>
        <w:pStyle w:val="Ningnestilodeprrafo"/>
        <w:spacing w:after="240" w:line="276" w:lineRule="auto"/>
        <w:jc w:val="both"/>
        <w:rPr>
          <w:rFonts w:ascii="Arial" w:hAnsi="Arial" w:cs="Arial"/>
          <w:sz w:val="21"/>
          <w:szCs w:val="21"/>
          <w:lang w:val="es-ES"/>
        </w:rPr>
      </w:pPr>
      <w:r w:rsidRPr="00DA6C69">
        <w:rPr>
          <w:rFonts w:ascii="Arial" w:hAnsi="Arial" w:cs="Arial"/>
          <w:sz w:val="21"/>
          <w:szCs w:val="21"/>
          <w:lang w:val="es-ES"/>
        </w:rPr>
        <w:t>El informe subraya que, en todos los procesos de promoción interna analizados, el número de personas admitidas a examen fue inferior al número de plazas convocadas, haciendo matemáticamente imposible la cobertura total.</w:t>
      </w:r>
    </w:p>
    <w:p w14:paraId="50B40C51" w14:textId="0A2E2109" w:rsidR="00DA6C69" w:rsidRPr="00DA6C69" w:rsidRDefault="00DA6C69" w:rsidP="00DA6C69">
      <w:pPr>
        <w:pStyle w:val="Ningnestilodeprrafo"/>
        <w:spacing w:after="240" w:line="276" w:lineRule="auto"/>
        <w:jc w:val="both"/>
        <w:rPr>
          <w:rFonts w:ascii="Arial" w:hAnsi="Arial" w:cs="Arial"/>
          <w:b/>
          <w:bCs/>
          <w:sz w:val="21"/>
          <w:szCs w:val="21"/>
          <w:lang w:val="es-ES"/>
        </w:rPr>
      </w:pPr>
      <w:r w:rsidRPr="00DA6C69">
        <w:rPr>
          <w:rFonts w:ascii="Arial" w:hAnsi="Arial" w:cs="Arial"/>
          <w:b/>
          <w:bCs/>
          <w:sz w:val="21"/>
          <w:szCs w:val="21"/>
          <w:lang w:val="es-ES"/>
        </w:rPr>
        <w:t xml:space="preserve">Disparidad en el </w:t>
      </w:r>
      <w:r>
        <w:rPr>
          <w:rFonts w:ascii="Arial" w:hAnsi="Arial" w:cs="Arial"/>
          <w:b/>
          <w:bCs/>
          <w:sz w:val="21"/>
          <w:szCs w:val="21"/>
          <w:lang w:val="es-ES"/>
        </w:rPr>
        <w:t>a</w:t>
      </w:r>
      <w:r w:rsidRPr="00DA6C69">
        <w:rPr>
          <w:rFonts w:ascii="Arial" w:hAnsi="Arial" w:cs="Arial"/>
          <w:b/>
          <w:bCs/>
          <w:sz w:val="21"/>
          <w:szCs w:val="21"/>
          <w:lang w:val="es-ES"/>
        </w:rPr>
        <w:t xml:space="preserve">cceso </w:t>
      </w:r>
      <w:r>
        <w:rPr>
          <w:rFonts w:ascii="Arial" w:hAnsi="Arial" w:cs="Arial"/>
          <w:b/>
          <w:bCs/>
          <w:sz w:val="21"/>
          <w:szCs w:val="21"/>
          <w:lang w:val="es-ES"/>
        </w:rPr>
        <w:t>l</w:t>
      </w:r>
      <w:r w:rsidRPr="00DA6C69">
        <w:rPr>
          <w:rFonts w:ascii="Arial" w:hAnsi="Arial" w:cs="Arial"/>
          <w:b/>
          <w:bCs/>
          <w:sz w:val="21"/>
          <w:szCs w:val="21"/>
          <w:lang w:val="es-ES"/>
        </w:rPr>
        <w:t>ibre</w:t>
      </w:r>
    </w:p>
    <w:p w14:paraId="3DF1B720" w14:textId="26494F14" w:rsidR="00DA6C69" w:rsidRDefault="00DA6C69" w:rsidP="00DA6C69">
      <w:pPr>
        <w:pStyle w:val="Ningnestilodeprrafo"/>
        <w:spacing w:after="240" w:line="276" w:lineRule="auto"/>
        <w:jc w:val="both"/>
        <w:rPr>
          <w:rFonts w:ascii="Arial" w:hAnsi="Arial" w:cs="Arial"/>
          <w:sz w:val="21"/>
          <w:szCs w:val="21"/>
          <w:lang w:val="es-ES"/>
        </w:rPr>
      </w:pPr>
      <w:r w:rsidRPr="00DA6C69">
        <w:rPr>
          <w:rFonts w:ascii="Arial" w:hAnsi="Arial" w:cs="Arial"/>
          <w:sz w:val="21"/>
          <w:szCs w:val="21"/>
          <w:lang w:val="es-ES"/>
        </w:rPr>
        <w:t>La cobertura media en acceso libre para el cupo de discapacidad en 2024 fue del 47.20%. Sin embargo, esta cifra oculta una realidad polarizada:</w:t>
      </w:r>
    </w:p>
    <w:p w14:paraId="526CDA39" w14:textId="20ED5992" w:rsidR="00DA6C69" w:rsidRPr="00DA6C69" w:rsidRDefault="00DA6C69" w:rsidP="0040042D">
      <w:pPr>
        <w:pStyle w:val="Ningnestilodeprrafo"/>
        <w:spacing w:after="240" w:line="276" w:lineRule="auto"/>
        <w:contextualSpacing/>
        <w:jc w:val="both"/>
        <w:rPr>
          <w:rFonts w:ascii="Arial" w:hAnsi="Arial" w:cs="Arial"/>
          <w:sz w:val="21"/>
          <w:szCs w:val="21"/>
          <w:lang w:val="es-ES"/>
        </w:rPr>
      </w:pPr>
      <w:r w:rsidRPr="00DA6C69">
        <w:rPr>
          <w:rFonts w:ascii="Arial" w:hAnsi="Arial" w:cs="Arial"/>
          <w:sz w:val="21"/>
          <w:szCs w:val="21"/>
          <w:lang w:val="es-ES"/>
        </w:rPr>
        <w:t xml:space="preserve">Cobertura </w:t>
      </w:r>
      <w:r>
        <w:rPr>
          <w:rFonts w:ascii="Arial" w:hAnsi="Arial" w:cs="Arial"/>
          <w:sz w:val="21"/>
          <w:szCs w:val="21"/>
          <w:lang w:val="es-ES"/>
        </w:rPr>
        <w:t>ALTA</w:t>
      </w:r>
      <w:r w:rsidRPr="00DA6C69">
        <w:rPr>
          <w:rFonts w:ascii="Arial" w:hAnsi="Arial" w:cs="Arial"/>
          <w:sz w:val="21"/>
          <w:szCs w:val="21"/>
          <w:lang w:val="es-ES"/>
        </w:rPr>
        <w:t xml:space="preserve">: </w:t>
      </w:r>
      <w:r>
        <w:rPr>
          <w:rFonts w:ascii="Arial" w:hAnsi="Arial" w:cs="Arial"/>
          <w:sz w:val="21"/>
          <w:szCs w:val="21"/>
          <w:lang w:val="es-ES"/>
        </w:rPr>
        <w:t>e</w:t>
      </w:r>
      <w:r w:rsidRPr="00DA6C69">
        <w:rPr>
          <w:rFonts w:ascii="Arial" w:hAnsi="Arial" w:cs="Arial"/>
          <w:sz w:val="21"/>
          <w:szCs w:val="21"/>
          <w:lang w:val="es-ES"/>
        </w:rPr>
        <w:t>n los cuerpos generales de gran volumen, la cobertura es un éxito.</w:t>
      </w:r>
    </w:p>
    <w:p w14:paraId="5795DCA3" w14:textId="77777777" w:rsidR="00DA6C69" w:rsidRPr="00DA6C69" w:rsidRDefault="00DA6C69" w:rsidP="0040042D">
      <w:pPr>
        <w:pStyle w:val="Ningnestilodeprrafo"/>
        <w:numPr>
          <w:ilvl w:val="0"/>
          <w:numId w:val="19"/>
        </w:numPr>
        <w:spacing w:after="240" w:line="276" w:lineRule="auto"/>
        <w:ind w:left="714" w:hanging="357"/>
        <w:contextualSpacing/>
        <w:jc w:val="both"/>
        <w:rPr>
          <w:rFonts w:ascii="Arial" w:hAnsi="Arial" w:cs="Arial"/>
          <w:sz w:val="21"/>
          <w:szCs w:val="21"/>
          <w:lang w:val="es-ES"/>
        </w:rPr>
      </w:pPr>
      <w:r w:rsidRPr="00DA6C69">
        <w:rPr>
          <w:rFonts w:ascii="Arial" w:hAnsi="Arial" w:cs="Arial"/>
          <w:sz w:val="21"/>
          <w:szCs w:val="21"/>
          <w:lang w:val="es-ES"/>
        </w:rPr>
        <w:t>Cuerpo General Administrativo (ADVO): 103.06%.</w:t>
      </w:r>
    </w:p>
    <w:p w14:paraId="0C61AFF3" w14:textId="77777777" w:rsidR="00DA6C69" w:rsidRPr="00DA6C69" w:rsidRDefault="00DA6C69" w:rsidP="00DA6C69">
      <w:pPr>
        <w:pStyle w:val="Ningnestilodeprrafo"/>
        <w:numPr>
          <w:ilvl w:val="0"/>
          <w:numId w:val="19"/>
        </w:numPr>
        <w:spacing w:after="240" w:line="276" w:lineRule="auto"/>
        <w:ind w:left="714" w:hanging="357"/>
        <w:contextualSpacing/>
        <w:jc w:val="both"/>
        <w:rPr>
          <w:rFonts w:ascii="Arial" w:hAnsi="Arial" w:cs="Arial"/>
          <w:sz w:val="21"/>
          <w:szCs w:val="21"/>
          <w:lang w:val="es-ES"/>
        </w:rPr>
      </w:pPr>
      <w:r w:rsidRPr="00DA6C69">
        <w:rPr>
          <w:rFonts w:ascii="Arial" w:hAnsi="Arial" w:cs="Arial"/>
          <w:sz w:val="21"/>
          <w:szCs w:val="21"/>
          <w:lang w:val="es-ES"/>
        </w:rPr>
        <w:t>Cuerpo General Auxiliar (AUX): 102.09%.</w:t>
      </w:r>
    </w:p>
    <w:p w14:paraId="251708E4" w14:textId="77777777" w:rsidR="0040042D" w:rsidRPr="0040042D" w:rsidRDefault="0040042D" w:rsidP="00DA6C69">
      <w:pPr>
        <w:pStyle w:val="Ningnestilodeprrafo"/>
        <w:spacing w:after="240" w:line="276" w:lineRule="auto"/>
        <w:jc w:val="both"/>
        <w:rPr>
          <w:rFonts w:ascii="Arial" w:hAnsi="Arial" w:cs="Arial"/>
          <w:sz w:val="16"/>
          <w:szCs w:val="16"/>
          <w:lang w:val="es-ES"/>
        </w:rPr>
      </w:pPr>
    </w:p>
    <w:p w14:paraId="30FD8DB7" w14:textId="728CF81B" w:rsidR="00DA6C69" w:rsidRPr="0040042D" w:rsidRDefault="00DA6C69" w:rsidP="0040042D">
      <w:pPr>
        <w:pStyle w:val="Ningnestilodeprrafo"/>
        <w:spacing w:after="240" w:line="276" w:lineRule="auto"/>
        <w:contextualSpacing/>
        <w:jc w:val="both"/>
        <w:rPr>
          <w:rFonts w:ascii="Arial" w:hAnsi="Arial" w:cs="Arial"/>
          <w:sz w:val="16"/>
          <w:szCs w:val="16"/>
          <w:lang w:val="es-ES"/>
        </w:rPr>
      </w:pPr>
      <w:r w:rsidRPr="00DA6C69">
        <w:rPr>
          <w:rFonts w:ascii="Arial" w:hAnsi="Arial" w:cs="Arial"/>
          <w:sz w:val="21"/>
          <w:szCs w:val="21"/>
          <w:lang w:val="es-ES"/>
        </w:rPr>
        <w:t xml:space="preserve">Cobertura </w:t>
      </w:r>
      <w:r>
        <w:rPr>
          <w:rFonts w:ascii="Arial" w:hAnsi="Arial" w:cs="Arial"/>
          <w:sz w:val="21"/>
          <w:szCs w:val="21"/>
          <w:lang w:val="es-ES"/>
        </w:rPr>
        <w:t>BAJA/NULA</w:t>
      </w:r>
      <w:r w:rsidRPr="00DA6C69">
        <w:rPr>
          <w:rFonts w:ascii="Arial" w:hAnsi="Arial" w:cs="Arial"/>
          <w:sz w:val="21"/>
          <w:szCs w:val="21"/>
          <w:lang w:val="es-ES"/>
        </w:rPr>
        <w:t xml:space="preserve">: </w:t>
      </w:r>
      <w:r>
        <w:rPr>
          <w:rFonts w:ascii="Arial" w:hAnsi="Arial" w:cs="Arial"/>
          <w:sz w:val="21"/>
          <w:szCs w:val="21"/>
          <w:lang w:val="es-ES"/>
        </w:rPr>
        <w:t>e</w:t>
      </w:r>
      <w:r w:rsidRPr="00DA6C69">
        <w:rPr>
          <w:rFonts w:ascii="Arial" w:hAnsi="Arial" w:cs="Arial"/>
          <w:sz w:val="21"/>
          <w:szCs w:val="21"/>
          <w:lang w:val="es-ES"/>
        </w:rPr>
        <w:t>n los cuerpos superiores y técnicos (Subgrupos A1 y A2), la cobertura es mínima.</w:t>
      </w:r>
    </w:p>
    <w:p w14:paraId="4A8B29A8" w14:textId="77777777" w:rsidR="00DA6C69" w:rsidRPr="00DA6C69" w:rsidRDefault="00DA6C69" w:rsidP="0040042D">
      <w:pPr>
        <w:pStyle w:val="Ningnestilodeprrafo"/>
        <w:numPr>
          <w:ilvl w:val="0"/>
          <w:numId w:val="20"/>
        </w:numPr>
        <w:spacing w:after="240" w:line="276" w:lineRule="auto"/>
        <w:contextualSpacing/>
        <w:jc w:val="both"/>
        <w:rPr>
          <w:rFonts w:ascii="Arial" w:hAnsi="Arial" w:cs="Arial"/>
          <w:sz w:val="21"/>
          <w:szCs w:val="21"/>
          <w:lang w:val="es-ES"/>
        </w:rPr>
      </w:pPr>
      <w:r w:rsidRPr="00DA6C69">
        <w:rPr>
          <w:rFonts w:ascii="Arial" w:hAnsi="Arial" w:cs="Arial"/>
          <w:sz w:val="21"/>
          <w:szCs w:val="21"/>
          <w:lang w:val="es-ES"/>
        </w:rPr>
        <w:t>Cuerpo Superior de Administradores Civiles del Estado (CSACE): 0.00%.</w:t>
      </w:r>
    </w:p>
    <w:p w14:paraId="77A7247A" w14:textId="77777777" w:rsidR="00DA6C69" w:rsidRPr="00DA6C69" w:rsidRDefault="00DA6C69" w:rsidP="00DA6C69">
      <w:pPr>
        <w:pStyle w:val="Ningnestilodeprrafo"/>
        <w:numPr>
          <w:ilvl w:val="0"/>
          <w:numId w:val="20"/>
        </w:numPr>
        <w:spacing w:after="240" w:line="276" w:lineRule="auto"/>
        <w:contextualSpacing/>
        <w:jc w:val="both"/>
        <w:rPr>
          <w:rFonts w:ascii="Arial" w:hAnsi="Arial" w:cs="Arial"/>
          <w:sz w:val="21"/>
          <w:szCs w:val="21"/>
          <w:lang w:val="es-ES"/>
        </w:rPr>
      </w:pPr>
      <w:r w:rsidRPr="00DA6C69">
        <w:rPr>
          <w:rFonts w:ascii="Arial" w:hAnsi="Arial" w:cs="Arial"/>
          <w:sz w:val="21"/>
          <w:szCs w:val="21"/>
          <w:lang w:val="es-ES"/>
        </w:rPr>
        <w:t>Cuerpo de Gestión de la Administración Civil del Estado (GACE): 23.90%.</w:t>
      </w:r>
    </w:p>
    <w:p w14:paraId="2ED1EAE2" w14:textId="49ECC13E" w:rsidR="00DA6C69" w:rsidRDefault="00DA6C69" w:rsidP="00DA6C69">
      <w:pPr>
        <w:pStyle w:val="Ningnestilodeprrafo"/>
        <w:numPr>
          <w:ilvl w:val="0"/>
          <w:numId w:val="20"/>
        </w:numPr>
        <w:spacing w:after="240" w:line="276" w:lineRule="auto"/>
        <w:contextualSpacing/>
        <w:jc w:val="both"/>
        <w:rPr>
          <w:rFonts w:ascii="Arial" w:hAnsi="Arial" w:cs="Arial"/>
          <w:sz w:val="21"/>
          <w:szCs w:val="21"/>
          <w:lang w:val="es-ES"/>
        </w:rPr>
      </w:pPr>
      <w:r w:rsidRPr="00DA6C69">
        <w:rPr>
          <w:rFonts w:ascii="Arial" w:hAnsi="Arial" w:cs="Arial"/>
          <w:sz w:val="21"/>
          <w:szCs w:val="21"/>
          <w:lang w:val="es-ES"/>
        </w:rPr>
        <w:t>Cuerpo de Gestión de Sistemas e Informática (GSI): 22.41%.</w:t>
      </w:r>
    </w:p>
    <w:p w14:paraId="457B178D" w14:textId="56347EC0" w:rsidR="00F94099" w:rsidRPr="0040042D" w:rsidRDefault="00F94099" w:rsidP="00F94099">
      <w:pPr>
        <w:pStyle w:val="Ningnestilodeprrafo"/>
        <w:spacing w:after="240" w:line="276" w:lineRule="auto"/>
        <w:contextualSpacing/>
        <w:jc w:val="both"/>
        <w:rPr>
          <w:rFonts w:ascii="Arial" w:hAnsi="Arial" w:cs="Arial"/>
          <w:sz w:val="16"/>
          <w:szCs w:val="16"/>
          <w:lang w:val="es-ES"/>
        </w:rPr>
      </w:pPr>
    </w:p>
    <w:p w14:paraId="0291C2DF" w14:textId="2E4C03BD" w:rsidR="00F94099" w:rsidRPr="0040042D" w:rsidRDefault="00F94099" w:rsidP="00F94099">
      <w:pPr>
        <w:pStyle w:val="Ningnestilodeprrafo"/>
        <w:spacing w:after="240" w:line="276" w:lineRule="auto"/>
        <w:contextualSpacing/>
        <w:jc w:val="both"/>
        <w:rPr>
          <w:rFonts w:ascii="Arial" w:hAnsi="Arial" w:cs="Arial"/>
          <w:sz w:val="16"/>
          <w:szCs w:val="16"/>
          <w:lang w:val="es-ES"/>
        </w:rPr>
      </w:pPr>
      <w:r>
        <w:rPr>
          <w:rFonts w:ascii="Arial" w:hAnsi="Arial" w:cs="Arial"/>
          <w:sz w:val="21"/>
          <w:szCs w:val="21"/>
          <w:lang w:val="es-ES"/>
        </w:rPr>
        <w:t xml:space="preserve">La gráfica que aparece a continuación </w:t>
      </w:r>
      <w:proofErr w:type="spellStart"/>
      <w:r>
        <w:rPr>
          <w:rFonts w:ascii="Arial" w:hAnsi="Arial" w:cs="Arial"/>
          <w:sz w:val="21"/>
          <w:szCs w:val="21"/>
          <w:lang w:val="es-ES"/>
        </w:rPr>
        <w:t>relfeja</w:t>
      </w:r>
      <w:proofErr w:type="spellEnd"/>
      <w:r>
        <w:rPr>
          <w:rFonts w:ascii="Arial" w:hAnsi="Arial" w:cs="Arial"/>
          <w:sz w:val="21"/>
          <w:szCs w:val="21"/>
          <w:lang w:val="es-ES"/>
        </w:rPr>
        <w:t xml:space="preserve"> lo señalado:</w:t>
      </w:r>
    </w:p>
    <w:p w14:paraId="2A97416C" w14:textId="510BF621" w:rsidR="0040042D" w:rsidRPr="0040042D" w:rsidRDefault="0040042D" w:rsidP="00A12A9E">
      <w:pPr>
        <w:pStyle w:val="Ningnestilodeprrafo"/>
        <w:spacing w:after="240" w:line="276" w:lineRule="auto"/>
        <w:contextualSpacing/>
        <w:jc w:val="both"/>
        <w:rPr>
          <w:rFonts w:ascii="Arial" w:hAnsi="Arial" w:cs="Arial"/>
          <w:sz w:val="16"/>
          <w:szCs w:val="16"/>
          <w:lang w:val="es-ES"/>
        </w:rPr>
      </w:pPr>
    </w:p>
    <w:p w14:paraId="6A382CB4" w14:textId="52EE3BBC" w:rsidR="00A12A9E" w:rsidRDefault="0040042D" w:rsidP="00A12A9E">
      <w:pPr>
        <w:pStyle w:val="Ningnestilodeprrafo"/>
        <w:spacing w:after="240" w:line="276" w:lineRule="auto"/>
        <w:contextualSpacing/>
        <w:jc w:val="both"/>
        <w:rPr>
          <w:rFonts w:ascii="Arial" w:hAnsi="Arial" w:cs="Arial"/>
          <w:sz w:val="21"/>
          <w:szCs w:val="21"/>
          <w:lang w:val="es-ES"/>
        </w:rPr>
      </w:pPr>
      <w:r w:rsidRPr="00A12A9E">
        <w:rPr>
          <w:rFonts w:ascii="Arial" w:hAnsi="Arial" w:cs="Arial"/>
          <w:noProof/>
          <w:sz w:val="21"/>
          <w:szCs w:val="21"/>
        </w:rPr>
        <w:drawing>
          <wp:anchor distT="0" distB="0" distL="114300" distR="114300" simplePos="0" relativeHeight="251683840" behindDoc="0" locked="0" layoutInCell="1" allowOverlap="1" wp14:anchorId="2760ED8C" wp14:editId="29B68A6A">
            <wp:simplePos x="0" y="0"/>
            <wp:positionH relativeFrom="margin">
              <wp:posOffset>257772</wp:posOffset>
            </wp:positionH>
            <wp:positionV relativeFrom="paragraph">
              <wp:posOffset>31855</wp:posOffset>
            </wp:positionV>
            <wp:extent cx="4904105" cy="3146425"/>
            <wp:effectExtent l="19050" t="19050" r="10795" b="15875"/>
            <wp:wrapSquare wrapText="bothSides"/>
            <wp:docPr id="1493690454" name="Imagen 8" descr="Gráfica de columnas agrupadas por cuerpo (CSACE, GACE, GSI, ADVO, AUX, TAI) con ‘Plazas ofertadas (CRD)’ y ‘Plazas cubiertas (superan 1er ejercicio)’. Sobre la barra de ‘cubiertas’ aparece el % de cobertura en negrita. Se observa cobertura &gt;100% en ADVO y AUX y valores muy bajos en CSACE/GACE/G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690454" name="Imagen 8" descr="Gráfica de columnas agrupadas por cuerpo (CSACE, GACE, GSI, ADVO, AUX, TAI) con ‘Plazas ofertadas (CRD)’ y ‘Plazas cubiertas (superan 1er ejercicio)’. Sobre la barra de ‘cubiertas’ aparece el % de cobertura en negrita. Se observa cobertura &gt;100% en ADVO y AUX y valores muy bajos en CSACE/GACE/GS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04105" cy="3146425"/>
                    </a:xfrm>
                    <a:prstGeom prst="rect">
                      <a:avLst/>
                    </a:prstGeom>
                    <a:noFill/>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14:paraId="4E6182FD" w14:textId="77777777" w:rsidR="0040042D" w:rsidRDefault="0040042D" w:rsidP="00A12A9E">
      <w:pPr>
        <w:pStyle w:val="Ningnestilodeprrafo"/>
        <w:spacing w:after="240" w:line="276" w:lineRule="auto"/>
        <w:contextualSpacing/>
        <w:jc w:val="both"/>
        <w:rPr>
          <w:rFonts w:ascii="Arial" w:hAnsi="Arial" w:cs="Arial"/>
          <w:sz w:val="21"/>
          <w:szCs w:val="21"/>
          <w:lang w:val="es-ES"/>
        </w:rPr>
      </w:pPr>
    </w:p>
    <w:p w14:paraId="5AF3B99B" w14:textId="77777777" w:rsidR="0040042D" w:rsidRDefault="0040042D" w:rsidP="00A12A9E">
      <w:pPr>
        <w:pStyle w:val="Ningnestilodeprrafo"/>
        <w:spacing w:after="240" w:line="276" w:lineRule="auto"/>
        <w:contextualSpacing/>
        <w:jc w:val="both"/>
        <w:rPr>
          <w:rFonts w:ascii="Arial" w:hAnsi="Arial" w:cs="Arial"/>
          <w:sz w:val="21"/>
          <w:szCs w:val="21"/>
          <w:lang w:val="es-ES"/>
        </w:rPr>
      </w:pPr>
    </w:p>
    <w:p w14:paraId="36B75332" w14:textId="77777777" w:rsidR="0040042D" w:rsidRDefault="0040042D" w:rsidP="00A12A9E">
      <w:pPr>
        <w:pStyle w:val="Ningnestilodeprrafo"/>
        <w:spacing w:after="240" w:line="276" w:lineRule="auto"/>
        <w:contextualSpacing/>
        <w:jc w:val="both"/>
        <w:rPr>
          <w:rFonts w:ascii="Arial" w:hAnsi="Arial" w:cs="Arial"/>
          <w:sz w:val="21"/>
          <w:szCs w:val="21"/>
          <w:lang w:val="es-ES"/>
        </w:rPr>
      </w:pPr>
    </w:p>
    <w:p w14:paraId="302B6CE2" w14:textId="77777777" w:rsidR="0040042D" w:rsidRDefault="0040042D" w:rsidP="00A12A9E">
      <w:pPr>
        <w:pStyle w:val="Ningnestilodeprrafo"/>
        <w:spacing w:after="240" w:line="276" w:lineRule="auto"/>
        <w:contextualSpacing/>
        <w:jc w:val="both"/>
        <w:rPr>
          <w:rFonts w:ascii="Arial" w:hAnsi="Arial" w:cs="Arial"/>
          <w:sz w:val="21"/>
          <w:szCs w:val="21"/>
          <w:lang w:val="es-ES"/>
        </w:rPr>
      </w:pPr>
    </w:p>
    <w:p w14:paraId="5E1342A3" w14:textId="77777777" w:rsidR="0040042D" w:rsidRDefault="0040042D" w:rsidP="00A12A9E">
      <w:pPr>
        <w:pStyle w:val="Ningnestilodeprrafo"/>
        <w:spacing w:after="240" w:line="276" w:lineRule="auto"/>
        <w:contextualSpacing/>
        <w:jc w:val="both"/>
        <w:rPr>
          <w:rFonts w:ascii="Arial" w:hAnsi="Arial" w:cs="Arial"/>
          <w:sz w:val="21"/>
          <w:szCs w:val="21"/>
          <w:lang w:val="es-ES"/>
        </w:rPr>
      </w:pPr>
    </w:p>
    <w:p w14:paraId="54B733D7" w14:textId="77777777" w:rsidR="0040042D" w:rsidRDefault="0040042D" w:rsidP="00A12A9E">
      <w:pPr>
        <w:pStyle w:val="Ningnestilodeprrafo"/>
        <w:spacing w:after="240" w:line="276" w:lineRule="auto"/>
        <w:contextualSpacing/>
        <w:jc w:val="both"/>
        <w:rPr>
          <w:rFonts w:ascii="Arial" w:hAnsi="Arial" w:cs="Arial"/>
          <w:sz w:val="21"/>
          <w:szCs w:val="21"/>
          <w:lang w:val="es-ES"/>
        </w:rPr>
      </w:pPr>
    </w:p>
    <w:p w14:paraId="7F23B019" w14:textId="77777777" w:rsidR="0040042D" w:rsidRDefault="0040042D" w:rsidP="00A12A9E">
      <w:pPr>
        <w:pStyle w:val="Ningnestilodeprrafo"/>
        <w:spacing w:after="240" w:line="276" w:lineRule="auto"/>
        <w:contextualSpacing/>
        <w:jc w:val="both"/>
        <w:rPr>
          <w:rFonts w:ascii="Arial" w:hAnsi="Arial" w:cs="Arial"/>
          <w:sz w:val="21"/>
          <w:szCs w:val="21"/>
          <w:lang w:val="es-ES"/>
        </w:rPr>
      </w:pPr>
    </w:p>
    <w:p w14:paraId="6596B6A1" w14:textId="77777777" w:rsidR="0040042D" w:rsidRDefault="0040042D" w:rsidP="00A12A9E">
      <w:pPr>
        <w:pStyle w:val="Ningnestilodeprrafo"/>
        <w:spacing w:after="240" w:line="276" w:lineRule="auto"/>
        <w:contextualSpacing/>
        <w:jc w:val="both"/>
        <w:rPr>
          <w:rFonts w:ascii="Arial" w:hAnsi="Arial" w:cs="Arial"/>
          <w:sz w:val="21"/>
          <w:szCs w:val="21"/>
          <w:lang w:val="es-ES"/>
        </w:rPr>
      </w:pPr>
    </w:p>
    <w:p w14:paraId="4B6D459A" w14:textId="77777777" w:rsidR="0040042D" w:rsidRDefault="0040042D" w:rsidP="00A12A9E">
      <w:pPr>
        <w:pStyle w:val="Ningnestilodeprrafo"/>
        <w:spacing w:after="240" w:line="276" w:lineRule="auto"/>
        <w:contextualSpacing/>
        <w:jc w:val="both"/>
        <w:rPr>
          <w:rFonts w:ascii="Arial" w:hAnsi="Arial" w:cs="Arial"/>
          <w:sz w:val="21"/>
          <w:szCs w:val="21"/>
          <w:lang w:val="es-ES"/>
        </w:rPr>
      </w:pPr>
    </w:p>
    <w:p w14:paraId="2E024118" w14:textId="77777777" w:rsidR="0040042D" w:rsidRDefault="0040042D" w:rsidP="00A12A9E">
      <w:pPr>
        <w:pStyle w:val="Ningnestilodeprrafo"/>
        <w:spacing w:after="240" w:line="276" w:lineRule="auto"/>
        <w:contextualSpacing/>
        <w:jc w:val="both"/>
        <w:rPr>
          <w:rFonts w:ascii="Arial" w:hAnsi="Arial" w:cs="Arial"/>
          <w:sz w:val="21"/>
          <w:szCs w:val="21"/>
          <w:lang w:val="es-ES"/>
        </w:rPr>
      </w:pPr>
    </w:p>
    <w:p w14:paraId="2A118F64" w14:textId="77777777" w:rsidR="0040042D" w:rsidRDefault="0040042D" w:rsidP="00A12A9E">
      <w:pPr>
        <w:pStyle w:val="Ningnestilodeprrafo"/>
        <w:spacing w:after="240" w:line="276" w:lineRule="auto"/>
        <w:contextualSpacing/>
        <w:jc w:val="both"/>
        <w:rPr>
          <w:rFonts w:ascii="Arial" w:hAnsi="Arial" w:cs="Arial"/>
          <w:sz w:val="21"/>
          <w:szCs w:val="21"/>
          <w:lang w:val="es-ES"/>
        </w:rPr>
      </w:pPr>
    </w:p>
    <w:p w14:paraId="414E1676" w14:textId="77777777" w:rsidR="0040042D" w:rsidRDefault="0040042D" w:rsidP="00A12A9E">
      <w:pPr>
        <w:pStyle w:val="Ningnestilodeprrafo"/>
        <w:spacing w:after="240" w:line="276" w:lineRule="auto"/>
        <w:contextualSpacing/>
        <w:jc w:val="both"/>
        <w:rPr>
          <w:rFonts w:ascii="Arial" w:hAnsi="Arial" w:cs="Arial"/>
          <w:sz w:val="21"/>
          <w:szCs w:val="21"/>
          <w:lang w:val="es-ES"/>
        </w:rPr>
      </w:pPr>
    </w:p>
    <w:p w14:paraId="55F0C8EC" w14:textId="77777777" w:rsidR="0040042D" w:rsidRDefault="0040042D" w:rsidP="00A12A9E">
      <w:pPr>
        <w:pStyle w:val="Ningnestilodeprrafo"/>
        <w:spacing w:after="240" w:line="276" w:lineRule="auto"/>
        <w:contextualSpacing/>
        <w:jc w:val="both"/>
        <w:rPr>
          <w:rFonts w:ascii="Arial" w:hAnsi="Arial" w:cs="Arial"/>
          <w:sz w:val="21"/>
          <w:szCs w:val="21"/>
          <w:lang w:val="es-ES"/>
        </w:rPr>
      </w:pPr>
    </w:p>
    <w:p w14:paraId="1B3AC86B" w14:textId="77777777" w:rsidR="0040042D" w:rsidRDefault="0040042D" w:rsidP="00A12A9E">
      <w:pPr>
        <w:pStyle w:val="Ningnestilodeprrafo"/>
        <w:spacing w:after="240" w:line="276" w:lineRule="auto"/>
        <w:contextualSpacing/>
        <w:jc w:val="both"/>
        <w:rPr>
          <w:rFonts w:ascii="Arial" w:hAnsi="Arial" w:cs="Arial"/>
          <w:sz w:val="21"/>
          <w:szCs w:val="21"/>
          <w:lang w:val="es-ES"/>
        </w:rPr>
      </w:pPr>
    </w:p>
    <w:p w14:paraId="3B0D104B" w14:textId="77777777" w:rsidR="0040042D" w:rsidRDefault="0040042D" w:rsidP="00A12A9E">
      <w:pPr>
        <w:pStyle w:val="Ningnestilodeprrafo"/>
        <w:spacing w:after="240" w:line="276" w:lineRule="auto"/>
        <w:contextualSpacing/>
        <w:jc w:val="both"/>
        <w:rPr>
          <w:rFonts w:ascii="Arial" w:hAnsi="Arial" w:cs="Arial"/>
          <w:sz w:val="21"/>
          <w:szCs w:val="21"/>
          <w:lang w:val="es-ES"/>
        </w:rPr>
      </w:pPr>
    </w:p>
    <w:p w14:paraId="76749DDF" w14:textId="77777777" w:rsidR="0040042D" w:rsidRDefault="0040042D" w:rsidP="00A12A9E">
      <w:pPr>
        <w:pStyle w:val="Ningnestilodeprrafo"/>
        <w:spacing w:after="240" w:line="276" w:lineRule="auto"/>
        <w:contextualSpacing/>
        <w:jc w:val="both"/>
        <w:rPr>
          <w:rFonts w:ascii="Arial" w:hAnsi="Arial" w:cs="Arial"/>
          <w:sz w:val="21"/>
          <w:szCs w:val="21"/>
          <w:lang w:val="es-ES"/>
        </w:rPr>
      </w:pPr>
    </w:p>
    <w:p w14:paraId="190D4D98" w14:textId="77777777" w:rsidR="0040042D" w:rsidRDefault="0040042D" w:rsidP="00A12A9E">
      <w:pPr>
        <w:pStyle w:val="Ningnestilodeprrafo"/>
        <w:spacing w:after="240" w:line="276" w:lineRule="auto"/>
        <w:contextualSpacing/>
        <w:jc w:val="both"/>
        <w:rPr>
          <w:rFonts w:ascii="Arial" w:hAnsi="Arial" w:cs="Arial"/>
          <w:sz w:val="21"/>
          <w:szCs w:val="21"/>
          <w:lang w:val="es-ES"/>
        </w:rPr>
      </w:pPr>
    </w:p>
    <w:p w14:paraId="2F3719E2" w14:textId="77777777" w:rsidR="0040042D" w:rsidRPr="0040042D" w:rsidRDefault="0040042D" w:rsidP="0040042D">
      <w:pPr>
        <w:pStyle w:val="Ningnestilodeprrafo"/>
        <w:spacing w:after="240" w:line="276" w:lineRule="auto"/>
        <w:contextualSpacing/>
        <w:jc w:val="both"/>
        <w:rPr>
          <w:rFonts w:ascii="Arial" w:hAnsi="Arial" w:cs="Arial"/>
          <w:sz w:val="16"/>
          <w:szCs w:val="16"/>
          <w:lang w:val="es-ES"/>
        </w:rPr>
      </w:pPr>
    </w:p>
    <w:p w14:paraId="5217A100" w14:textId="7897EF9E" w:rsidR="00A12A9E" w:rsidRPr="00DB6432" w:rsidRDefault="00A12A9E" w:rsidP="00A12A9E">
      <w:pPr>
        <w:pStyle w:val="Ningnestilodeprrafo"/>
        <w:spacing w:after="240" w:line="276" w:lineRule="auto"/>
        <w:ind w:left="708"/>
        <w:contextualSpacing/>
        <w:jc w:val="center"/>
        <w:rPr>
          <w:rFonts w:ascii="Arial" w:hAnsi="Arial" w:cs="Arial"/>
          <w:sz w:val="18"/>
          <w:szCs w:val="18"/>
          <w:lang w:val="es-ES"/>
        </w:rPr>
      </w:pPr>
      <w:r>
        <w:rPr>
          <w:rFonts w:ascii="Arial" w:hAnsi="Arial" w:cs="Arial"/>
          <w:sz w:val="18"/>
          <w:szCs w:val="18"/>
          <w:lang w:val="es-ES"/>
        </w:rPr>
        <w:t>Fuente: elaboración propia a partir de los datos del Informe</w:t>
      </w:r>
    </w:p>
    <w:p w14:paraId="18838D6C" w14:textId="69F8483A" w:rsidR="00A12A9E" w:rsidRDefault="00A12A9E" w:rsidP="00A12A9E">
      <w:pPr>
        <w:pStyle w:val="Ningnestilodeprrafo"/>
        <w:spacing w:after="240" w:line="276" w:lineRule="auto"/>
        <w:contextualSpacing/>
        <w:jc w:val="both"/>
        <w:rPr>
          <w:rFonts w:ascii="Arial" w:hAnsi="Arial" w:cs="Arial"/>
          <w:sz w:val="21"/>
          <w:szCs w:val="21"/>
          <w:lang w:val="es-ES"/>
        </w:rPr>
      </w:pPr>
    </w:p>
    <w:p w14:paraId="7888B5C3" w14:textId="79F0B1CE" w:rsidR="001B2516" w:rsidRPr="00944F0D" w:rsidRDefault="001B2516" w:rsidP="001B2516">
      <w:pPr>
        <w:pStyle w:val="Ningnestilodeprrafo"/>
        <w:spacing w:after="240" w:line="276" w:lineRule="auto"/>
        <w:rPr>
          <w:rFonts w:ascii="Arial" w:hAnsi="Arial" w:cs="Arial"/>
          <w:sz w:val="21"/>
          <w:szCs w:val="21"/>
          <w:lang w:val="es-ES"/>
        </w:rPr>
      </w:pPr>
      <w:r w:rsidRPr="00944F0D">
        <w:rPr>
          <w:rFonts w:ascii="Arial" w:hAnsi="Arial" w:cs="Arial"/>
          <w:b/>
          <w:bCs/>
          <w:sz w:val="28"/>
          <w:szCs w:val="28"/>
          <w:lang w:val="es-ES"/>
        </w:rPr>
        <w:lastRenderedPageBreak/>
        <w:t>4. Enfoque de género</w:t>
      </w:r>
      <w:r w:rsidR="00E11FA7">
        <w:rPr>
          <w:rFonts w:ascii="Arial" w:hAnsi="Arial" w:cs="Arial"/>
          <w:b/>
          <w:bCs/>
          <w:sz w:val="28"/>
          <w:szCs w:val="28"/>
          <w:lang w:val="es-ES"/>
        </w:rPr>
        <w:t xml:space="preserve"> y discapacidad</w:t>
      </w:r>
    </w:p>
    <w:p w14:paraId="5B73EF93" w14:textId="22349A93" w:rsidR="001B2516" w:rsidRDefault="00E11FA7" w:rsidP="00E11FA7">
      <w:pPr>
        <w:pStyle w:val="Ningnestilodeprrafo"/>
        <w:spacing w:after="240" w:line="276" w:lineRule="auto"/>
        <w:jc w:val="both"/>
        <w:rPr>
          <w:rFonts w:ascii="Arial" w:hAnsi="Arial" w:cs="Arial"/>
          <w:sz w:val="21"/>
          <w:szCs w:val="21"/>
          <w:lang w:val="es-ES"/>
        </w:rPr>
      </w:pPr>
      <w:r w:rsidRPr="00E11FA7">
        <w:rPr>
          <w:rFonts w:ascii="Arial" w:hAnsi="Arial" w:cs="Arial"/>
          <w:sz w:val="21"/>
          <w:szCs w:val="21"/>
          <w:lang w:val="es-ES"/>
        </w:rPr>
        <w:t>El informe dedica un apartado específico al análisis de género, reconociendo que las mujeres con discapacidad son vulnerables a la "discriminación múltiple e interseccional". El análisis se basa en los datos de las personas que han superado los procesos selectivos.</w:t>
      </w:r>
    </w:p>
    <w:p w14:paraId="49695B6D" w14:textId="66D5CD91" w:rsidR="00E11FA7" w:rsidRPr="00E11FA7" w:rsidRDefault="00E11FA7" w:rsidP="00C21F60">
      <w:pPr>
        <w:pStyle w:val="Ningnestilodeprrafo"/>
        <w:spacing w:after="240" w:line="240" w:lineRule="auto"/>
        <w:jc w:val="both"/>
        <w:rPr>
          <w:rFonts w:ascii="Arial" w:hAnsi="Arial" w:cs="Arial"/>
          <w:b/>
          <w:bCs/>
          <w:sz w:val="21"/>
          <w:szCs w:val="21"/>
          <w:lang w:val="es-ES"/>
        </w:rPr>
      </w:pPr>
      <w:r w:rsidRPr="00E11FA7">
        <w:rPr>
          <w:rFonts w:ascii="Arial" w:hAnsi="Arial" w:cs="Arial"/>
          <w:b/>
          <w:bCs/>
          <w:sz w:val="21"/>
          <w:szCs w:val="21"/>
          <w:lang w:val="es-ES"/>
        </w:rPr>
        <w:t>Acceso libre: un hito en 2024</w:t>
      </w:r>
    </w:p>
    <w:p w14:paraId="3A3B0DCD" w14:textId="69E534EB" w:rsidR="00E11FA7" w:rsidRDefault="00E11FA7" w:rsidP="00C21F60">
      <w:pPr>
        <w:pStyle w:val="Ningnestilodeprrafo"/>
        <w:spacing w:after="240" w:line="240" w:lineRule="auto"/>
        <w:jc w:val="both"/>
        <w:rPr>
          <w:rFonts w:ascii="Arial" w:hAnsi="Arial" w:cs="Arial"/>
          <w:sz w:val="21"/>
          <w:szCs w:val="21"/>
          <w:lang w:val="es-ES"/>
        </w:rPr>
      </w:pPr>
      <w:r w:rsidRPr="00E11FA7">
        <w:rPr>
          <w:rFonts w:ascii="Arial" w:hAnsi="Arial" w:cs="Arial"/>
          <w:sz w:val="21"/>
          <w:szCs w:val="21"/>
          <w:lang w:val="es-ES"/>
        </w:rPr>
        <w:t>La evolución en el acceso libre muestra un cambio de tendencia histórico.</w:t>
      </w:r>
    </w:p>
    <w:p w14:paraId="7853EF3A" w14:textId="77777777" w:rsidR="00E11FA7" w:rsidRPr="00E11FA7" w:rsidRDefault="00E11FA7" w:rsidP="00C21F60">
      <w:pPr>
        <w:pStyle w:val="Ningnestilodeprrafo"/>
        <w:numPr>
          <w:ilvl w:val="0"/>
          <w:numId w:val="21"/>
        </w:numPr>
        <w:spacing w:after="240" w:line="240" w:lineRule="auto"/>
        <w:contextualSpacing/>
        <w:jc w:val="both"/>
        <w:rPr>
          <w:rFonts w:ascii="Arial" w:hAnsi="Arial" w:cs="Arial"/>
          <w:sz w:val="21"/>
          <w:szCs w:val="21"/>
          <w:lang w:val="es-ES"/>
        </w:rPr>
      </w:pPr>
      <w:r w:rsidRPr="00E11FA7">
        <w:rPr>
          <w:rFonts w:ascii="Arial" w:hAnsi="Arial" w:cs="Arial"/>
          <w:sz w:val="21"/>
          <w:szCs w:val="21"/>
          <w:lang w:val="es-ES"/>
        </w:rPr>
        <w:t>En 2015, las mujeres representaban solo el 27.27% de las personas con discapacidad que superaron el proceso.</w:t>
      </w:r>
    </w:p>
    <w:p w14:paraId="5BBAF113" w14:textId="77777777" w:rsidR="00E11FA7" w:rsidRPr="00E11FA7" w:rsidRDefault="00E11FA7" w:rsidP="00C21F60">
      <w:pPr>
        <w:pStyle w:val="Ningnestilodeprrafo"/>
        <w:numPr>
          <w:ilvl w:val="0"/>
          <w:numId w:val="21"/>
        </w:numPr>
        <w:spacing w:after="240" w:line="240" w:lineRule="auto"/>
        <w:contextualSpacing/>
        <w:jc w:val="both"/>
        <w:rPr>
          <w:rFonts w:ascii="Arial" w:hAnsi="Arial" w:cs="Arial"/>
          <w:sz w:val="21"/>
          <w:szCs w:val="21"/>
          <w:lang w:val="es-ES"/>
        </w:rPr>
      </w:pPr>
      <w:r w:rsidRPr="00E11FA7">
        <w:rPr>
          <w:rFonts w:ascii="Arial" w:hAnsi="Arial" w:cs="Arial"/>
          <w:sz w:val="21"/>
          <w:szCs w:val="21"/>
          <w:lang w:val="es-ES"/>
        </w:rPr>
        <w:t>En 2023, (con una muestra pequeña de 21 personas) representaron el 29%.</w:t>
      </w:r>
    </w:p>
    <w:p w14:paraId="22BF888A" w14:textId="2050076B" w:rsidR="00E11FA7" w:rsidRDefault="00E11FA7" w:rsidP="00C21F60">
      <w:pPr>
        <w:pStyle w:val="Ningnestilodeprrafo"/>
        <w:numPr>
          <w:ilvl w:val="0"/>
          <w:numId w:val="21"/>
        </w:numPr>
        <w:spacing w:after="240" w:line="240" w:lineRule="auto"/>
        <w:contextualSpacing/>
        <w:jc w:val="both"/>
        <w:rPr>
          <w:rFonts w:ascii="Arial" w:hAnsi="Arial" w:cs="Arial"/>
          <w:sz w:val="21"/>
          <w:szCs w:val="21"/>
          <w:lang w:val="es-ES"/>
        </w:rPr>
      </w:pPr>
      <w:r w:rsidRPr="00E11FA7">
        <w:rPr>
          <w:rFonts w:ascii="Arial" w:hAnsi="Arial" w:cs="Arial"/>
          <w:sz w:val="21"/>
          <w:szCs w:val="21"/>
          <w:lang w:val="es-ES"/>
        </w:rPr>
        <w:t>En 2024, (con una muestra robusta de 666 personas) las mujeres superaron a los hombres por primera vez, alcanzando el 52.15% del total (345 mujeres frente a 320 hombres).</w:t>
      </w:r>
    </w:p>
    <w:p w14:paraId="668CA654" w14:textId="77777777" w:rsidR="00E11FA7" w:rsidRPr="00C21F60" w:rsidRDefault="00E11FA7" w:rsidP="00E11FA7">
      <w:pPr>
        <w:pStyle w:val="Ningnestilodeprrafo"/>
        <w:spacing w:after="240" w:line="276" w:lineRule="auto"/>
        <w:jc w:val="both"/>
        <w:rPr>
          <w:rFonts w:ascii="Arial" w:hAnsi="Arial" w:cs="Arial"/>
          <w:sz w:val="16"/>
          <w:szCs w:val="16"/>
          <w:lang w:val="es-ES"/>
        </w:rPr>
      </w:pPr>
    </w:p>
    <w:p w14:paraId="7F1168AC" w14:textId="6C3DAE67" w:rsidR="004775BF" w:rsidRPr="004775BF" w:rsidRDefault="004775BF" w:rsidP="004775BF">
      <w:pPr>
        <w:pStyle w:val="Ningnestilodeprrafo"/>
        <w:spacing w:after="240" w:line="276" w:lineRule="auto"/>
        <w:jc w:val="both"/>
        <w:rPr>
          <w:rFonts w:ascii="Arial" w:hAnsi="Arial" w:cs="Arial"/>
          <w:b/>
          <w:bCs/>
          <w:sz w:val="21"/>
          <w:szCs w:val="21"/>
          <w:lang w:val="es-ES"/>
        </w:rPr>
      </w:pPr>
      <w:r w:rsidRPr="004775BF">
        <w:rPr>
          <w:rFonts w:ascii="Arial" w:hAnsi="Arial" w:cs="Arial"/>
          <w:b/>
          <w:bCs/>
          <w:sz w:val="21"/>
          <w:szCs w:val="21"/>
          <w:lang w:val="es-ES"/>
        </w:rPr>
        <w:t>Promoción Interna: estabilidad y paridad</w:t>
      </w:r>
    </w:p>
    <w:p w14:paraId="59E97D61" w14:textId="77777777" w:rsidR="004775BF" w:rsidRPr="004775BF" w:rsidRDefault="004775BF" w:rsidP="00C21F60">
      <w:pPr>
        <w:pStyle w:val="Ningnestilodeprrafo"/>
        <w:spacing w:after="240" w:line="240" w:lineRule="auto"/>
        <w:jc w:val="both"/>
        <w:rPr>
          <w:rFonts w:ascii="Arial" w:hAnsi="Arial" w:cs="Arial"/>
          <w:sz w:val="21"/>
          <w:szCs w:val="21"/>
          <w:lang w:val="es-ES"/>
        </w:rPr>
      </w:pPr>
      <w:r w:rsidRPr="004775BF">
        <w:rPr>
          <w:rFonts w:ascii="Arial" w:hAnsi="Arial" w:cs="Arial"/>
          <w:sz w:val="21"/>
          <w:szCs w:val="21"/>
          <w:lang w:val="es-ES"/>
        </w:rPr>
        <w:t>En la promoción interna, la tendencia ha sido más estable y cercana a la paridad durante la última década.</w:t>
      </w:r>
    </w:p>
    <w:p w14:paraId="4053F852" w14:textId="77777777" w:rsidR="004775BF" w:rsidRPr="004775BF" w:rsidRDefault="004775BF" w:rsidP="00C21F60">
      <w:pPr>
        <w:pStyle w:val="Ningnestilodeprrafo"/>
        <w:numPr>
          <w:ilvl w:val="0"/>
          <w:numId w:val="22"/>
        </w:numPr>
        <w:spacing w:after="240" w:line="240" w:lineRule="auto"/>
        <w:contextualSpacing/>
        <w:jc w:val="both"/>
        <w:rPr>
          <w:rFonts w:ascii="Arial" w:hAnsi="Arial" w:cs="Arial"/>
          <w:sz w:val="21"/>
          <w:szCs w:val="21"/>
          <w:lang w:val="es-ES"/>
        </w:rPr>
      </w:pPr>
      <w:r w:rsidRPr="004775BF">
        <w:rPr>
          <w:rFonts w:ascii="Arial" w:hAnsi="Arial" w:cs="Arial"/>
          <w:sz w:val="21"/>
          <w:szCs w:val="21"/>
          <w:lang w:val="es-ES"/>
        </w:rPr>
        <w:t>En 2023, la muestra fue demasiado pequeña para ser representativa (solo 6 personas en total, 17% mujeres).</w:t>
      </w:r>
    </w:p>
    <w:p w14:paraId="5344C27C" w14:textId="77777777" w:rsidR="004775BF" w:rsidRPr="004775BF" w:rsidRDefault="004775BF" w:rsidP="00C21F60">
      <w:pPr>
        <w:pStyle w:val="Ningnestilodeprrafo"/>
        <w:numPr>
          <w:ilvl w:val="0"/>
          <w:numId w:val="22"/>
        </w:numPr>
        <w:spacing w:after="240" w:line="240" w:lineRule="auto"/>
        <w:contextualSpacing/>
        <w:jc w:val="both"/>
        <w:rPr>
          <w:rFonts w:ascii="Arial" w:hAnsi="Arial" w:cs="Arial"/>
          <w:sz w:val="21"/>
          <w:szCs w:val="21"/>
          <w:lang w:val="es-ES"/>
        </w:rPr>
      </w:pPr>
      <w:r w:rsidRPr="004775BF">
        <w:rPr>
          <w:rFonts w:ascii="Arial" w:hAnsi="Arial" w:cs="Arial"/>
          <w:sz w:val="21"/>
          <w:szCs w:val="21"/>
          <w:lang w:val="es-ES"/>
        </w:rPr>
        <w:t>En 2024, con una muestra de 141 personas, los resultados fueron de práctica paridad: 49.65% mujeres (70) y 50.35% hombres (71).</w:t>
      </w:r>
    </w:p>
    <w:p w14:paraId="4317F7E1" w14:textId="77777777" w:rsidR="004775BF" w:rsidRPr="00C21F60" w:rsidRDefault="004775BF" w:rsidP="00C21F60">
      <w:pPr>
        <w:pStyle w:val="Ningnestilodeprrafo"/>
        <w:spacing w:after="240" w:line="240" w:lineRule="auto"/>
        <w:jc w:val="both"/>
        <w:rPr>
          <w:rFonts w:ascii="Arial" w:hAnsi="Arial" w:cs="Arial"/>
          <w:sz w:val="16"/>
          <w:szCs w:val="16"/>
          <w:lang w:val="es-ES"/>
        </w:rPr>
      </w:pPr>
    </w:p>
    <w:p w14:paraId="624899F3" w14:textId="098D4863" w:rsidR="004775BF" w:rsidRDefault="004775BF" w:rsidP="00C21F60">
      <w:pPr>
        <w:pStyle w:val="Ningnestilodeprrafo"/>
        <w:spacing w:after="240" w:line="240" w:lineRule="auto"/>
        <w:jc w:val="both"/>
        <w:rPr>
          <w:rFonts w:ascii="Arial" w:hAnsi="Arial" w:cs="Arial"/>
          <w:sz w:val="21"/>
          <w:szCs w:val="21"/>
          <w:lang w:val="es-ES"/>
        </w:rPr>
      </w:pPr>
      <w:r w:rsidRPr="004775BF">
        <w:rPr>
          <w:rFonts w:ascii="Arial" w:hAnsi="Arial" w:cs="Arial"/>
          <w:sz w:val="21"/>
          <w:szCs w:val="21"/>
          <w:lang w:val="es-ES"/>
        </w:rPr>
        <w:t>El informe concluye que en acceso libre se ha consolidado la igualdad de género, mientras que la promoción interna, aunque más heterogénea, se aproxima a la paridad de género.</w:t>
      </w:r>
    </w:p>
    <w:p w14:paraId="07B86F52" w14:textId="5EE8F7E3" w:rsidR="00A040D8" w:rsidRPr="00A040D8" w:rsidRDefault="00A040D8" w:rsidP="00A040D8">
      <w:pPr>
        <w:pStyle w:val="Ningnestilodeprrafo"/>
        <w:spacing w:after="240" w:line="276" w:lineRule="auto"/>
        <w:jc w:val="both"/>
        <w:rPr>
          <w:rFonts w:ascii="Arial" w:hAnsi="Arial" w:cs="Arial"/>
          <w:sz w:val="21"/>
          <w:szCs w:val="21"/>
        </w:rPr>
      </w:pPr>
      <w:r w:rsidRPr="00A040D8">
        <w:rPr>
          <w:rFonts w:ascii="Arial" w:hAnsi="Arial" w:cs="Arial"/>
          <w:noProof/>
          <w:sz w:val="21"/>
          <w:szCs w:val="21"/>
        </w:rPr>
        <w:drawing>
          <wp:inline distT="0" distB="0" distL="0" distR="0" wp14:anchorId="36F8F414" wp14:editId="3D39A1D6">
            <wp:extent cx="5759450" cy="2870200"/>
            <wp:effectExtent l="19050" t="19050" r="12700" b="25400"/>
            <wp:docPr id="220642497" name="Imagen 9" descr="Gráfico de evolución temporal. Dos líneas 2015–2024; mujeres suben hasta 52,15% en 2024, superando el 50%; hombres descienden a 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42497" name="Imagen 9" descr="Gráfico de evolución temporal. Dos líneas 2015–2024; mujeres suben hasta 52,15% en 2024, superando el 50%; hombres descienden a 47,8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2870200"/>
                    </a:xfrm>
                    <a:prstGeom prst="rect">
                      <a:avLst/>
                    </a:prstGeom>
                    <a:noFill/>
                    <a:ln>
                      <a:solidFill>
                        <a:schemeClr val="bg1">
                          <a:lumMod val="75000"/>
                        </a:schemeClr>
                      </a:solidFill>
                    </a:ln>
                  </pic:spPr>
                </pic:pic>
              </a:graphicData>
            </a:graphic>
          </wp:inline>
        </w:drawing>
      </w:r>
    </w:p>
    <w:p w14:paraId="0B4DA82E" w14:textId="77777777" w:rsidR="00A040D8" w:rsidRPr="00DB6432" w:rsidRDefault="00A040D8" w:rsidP="00A040D8">
      <w:pPr>
        <w:pStyle w:val="Ningnestilodeprrafo"/>
        <w:spacing w:after="240" w:line="276" w:lineRule="auto"/>
        <w:ind w:left="708"/>
        <w:contextualSpacing/>
        <w:jc w:val="center"/>
        <w:rPr>
          <w:rFonts w:ascii="Arial" w:hAnsi="Arial" w:cs="Arial"/>
          <w:sz w:val="18"/>
          <w:szCs w:val="18"/>
          <w:lang w:val="es-ES"/>
        </w:rPr>
      </w:pPr>
      <w:r>
        <w:rPr>
          <w:rFonts w:ascii="Arial" w:hAnsi="Arial" w:cs="Arial"/>
          <w:sz w:val="18"/>
          <w:szCs w:val="18"/>
          <w:lang w:val="es-ES"/>
        </w:rPr>
        <w:t>Fuente: elaboración propia a partir de los datos del Informe</w:t>
      </w:r>
    </w:p>
    <w:p w14:paraId="0FD042DE" w14:textId="77777777" w:rsidR="004775BF" w:rsidRDefault="004775BF" w:rsidP="004775BF">
      <w:pPr>
        <w:pStyle w:val="Ningnestilodeprrafo"/>
        <w:spacing w:after="240" w:line="276" w:lineRule="auto"/>
        <w:jc w:val="both"/>
        <w:rPr>
          <w:rFonts w:ascii="Arial" w:hAnsi="Arial" w:cs="Arial"/>
          <w:sz w:val="21"/>
          <w:szCs w:val="21"/>
          <w:lang w:val="es-ES"/>
        </w:rPr>
      </w:pPr>
    </w:p>
    <w:p w14:paraId="5FA688D3" w14:textId="7A486399" w:rsidR="004775BF" w:rsidRPr="00944F0D" w:rsidRDefault="004775BF" w:rsidP="004775BF">
      <w:pPr>
        <w:pStyle w:val="Ningnestilodeprrafo"/>
        <w:spacing w:after="240" w:line="276" w:lineRule="auto"/>
        <w:rPr>
          <w:rFonts w:ascii="Arial" w:hAnsi="Arial" w:cs="Arial"/>
          <w:sz w:val="21"/>
          <w:szCs w:val="21"/>
          <w:lang w:val="es-ES"/>
        </w:rPr>
      </w:pPr>
      <w:r>
        <w:rPr>
          <w:rFonts w:ascii="Arial" w:hAnsi="Arial" w:cs="Arial"/>
          <w:b/>
          <w:bCs/>
          <w:sz w:val="28"/>
          <w:szCs w:val="28"/>
          <w:lang w:val="es-ES"/>
        </w:rPr>
        <w:lastRenderedPageBreak/>
        <w:t>5</w:t>
      </w:r>
      <w:r w:rsidRPr="00944F0D">
        <w:rPr>
          <w:rFonts w:ascii="Arial" w:hAnsi="Arial" w:cs="Arial"/>
          <w:b/>
          <w:bCs/>
          <w:sz w:val="28"/>
          <w:szCs w:val="28"/>
          <w:lang w:val="es-ES"/>
        </w:rPr>
        <w:t xml:space="preserve">. </w:t>
      </w:r>
      <w:r>
        <w:rPr>
          <w:rFonts w:ascii="Arial" w:hAnsi="Arial" w:cs="Arial"/>
          <w:b/>
          <w:bCs/>
          <w:sz w:val="28"/>
          <w:szCs w:val="28"/>
          <w:lang w:val="es-ES"/>
        </w:rPr>
        <w:t>Personas con discapacidad intelectual</w:t>
      </w:r>
    </w:p>
    <w:p w14:paraId="2B54BBEE" w14:textId="77777777" w:rsidR="004775BF" w:rsidRPr="004775BF" w:rsidRDefault="004775BF" w:rsidP="004775BF">
      <w:pPr>
        <w:pStyle w:val="Ningnestilodeprrafo"/>
        <w:spacing w:after="240" w:line="276" w:lineRule="auto"/>
        <w:jc w:val="both"/>
        <w:rPr>
          <w:rFonts w:ascii="Arial" w:hAnsi="Arial" w:cs="Arial"/>
          <w:sz w:val="21"/>
          <w:szCs w:val="21"/>
          <w:lang w:val="es-ES"/>
        </w:rPr>
      </w:pPr>
      <w:r w:rsidRPr="004775BF">
        <w:rPr>
          <w:rFonts w:ascii="Arial" w:hAnsi="Arial" w:cs="Arial"/>
          <w:sz w:val="21"/>
          <w:szCs w:val="21"/>
          <w:lang w:val="es-ES"/>
        </w:rPr>
        <w:t>El informe destaca dos realidades paralelas:</w:t>
      </w:r>
    </w:p>
    <w:p w14:paraId="0CECAE9A" w14:textId="51388D1B" w:rsidR="004775BF" w:rsidRPr="004775BF" w:rsidRDefault="004775BF" w:rsidP="00EA7F81">
      <w:pPr>
        <w:pStyle w:val="Ningnestilodeprrafo"/>
        <w:numPr>
          <w:ilvl w:val="0"/>
          <w:numId w:val="23"/>
        </w:numPr>
        <w:spacing w:after="240" w:line="276" w:lineRule="auto"/>
        <w:jc w:val="both"/>
        <w:rPr>
          <w:rFonts w:ascii="Arial" w:hAnsi="Arial" w:cs="Arial"/>
          <w:sz w:val="21"/>
          <w:szCs w:val="21"/>
          <w:lang w:val="es-ES"/>
        </w:rPr>
      </w:pPr>
      <w:r w:rsidRPr="004775BF">
        <w:rPr>
          <w:rFonts w:ascii="Arial" w:hAnsi="Arial" w:cs="Arial"/>
          <w:sz w:val="21"/>
          <w:szCs w:val="21"/>
          <w:lang w:val="es-ES"/>
        </w:rPr>
        <w:t>La OEP de 2024 es la primera en la historia que incluye plazas (137) para personas con discapacidad intelectual en los procesos de promoción interna de personal laboral fijo.</w:t>
      </w:r>
    </w:p>
    <w:p w14:paraId="3531BA0D" w14:textId="3EC22208" w:rsidR="004775BF" w:rsidRDefault="004775BF" w:rsidP="00EA7F81">
      <w:pPr>
        <w:pStyle w:val="Ningnestilodeprrafo"/>
        <w:numPr>
          <w:ilvl w:val="0"/>
          <w:numId w:val="23"/>
        </w:numPr>
        <w:spacing w:after="240" w:line="276" w:lineRule="auto"/>
        <w:jc w:val="both"/>
        <w:rPr>
          <w:rFonts w:ascii="Arial" w:hAnsi="Arial" w:cs="Arial"/>
          <w:sz w:val="21"/>
          <w:szCs w:val="21"/>
          <w:lang w:val="es-ES"/>
        </w:rPr>
      </w:pPr>
      <w:r w:rsidRPr="004775BF">
        <w:rPr>
          <w:rFonts w:ascii="Arial" w:hAnsi="Arial" w:cs="Arial"/>
          <w:sz w:val="21"/>
          <w:szCs w:val="21"/>
          <w:lang w:val="es-ES"/>
        </w:rPr>
        <w:t>En los cuerpos de funcionarios, el informe reitera que las plazas para discapacidad intelectual se concentran "en los subgrupos C2 y en el ámbito del personal laboral"</w:t>
      </w:r>
      <w:r w:rsidR="00EA7F81">
        <w:rPr>
          <w:rFonts w:ascii="Arial" w:hAnsi="Arial" w:cs="Arial"/>
          <w:sz w:val="21"/>
          <w:szCs w:val="21"/>
          <w:lang w:val="es-ES"/>
        </w:rPr>
        <w:t>,</w:t>
      </w:r>
      <w:r w:rsidRPr="004775BF">
        <w:rPr>
          <w:rFonts w:ascii="Arial" w:hAnsi="Arial" w:cs="Arial"/>
          <w:sz w:val="21"/>
          <w:szCs w:val="21"/>
          <w:lang w:val="es-ES"/>
        </w:rPr>
        <w:t xml:space="preserve"> sin que existan plazas ofertadas en los grupos superiores A1, A2 y C1.</w:t>
      </w:r>
    </w:p>
    <w:p w14:paraId="3014F9F7" w14:textId="5D087B08" w:rsidR="004775BF" w:rsidRPr="00944F0D" w:rsidRDefault="004775BF" w:rsidP="004775BF">
      <w:pPr>
        <w:pStyle w:val="Ningnestilodeprrafo"/>
        <w:spacing w:after="240" w:line="276" w:lineRule="auto"/>
        <w:rPr>
          <w:rFonts w:ascii="Arial" w:hAnsi="Arial" w:cs="Arial"/>
          <w:sz w:val="21"/>
          <w:szCs w:val="21"/>
          <w:lang w:val="es-ES"/>
        </w:rPr>
      </w:pPr>
      <w:r>
        <w:rPr>
          <w:rFonts w:ascii="Arial" w:hAnsi="Arial" w:cs="Arial"/>
          <w:b/>
          <w:bCs/>
          <w:sz w:val="28"/>
          <w:szCs w:val="28"/>
          <w:lang w:val="es-ES"/>
        </w:rPr>
        <w:t>5</w:t>
      </w:r>
      <w:r w:rsidRPr="00944F0D">
        <w:rPr>
          <w:rFonts w:ascii="Arial" w:hAnsi="Arial" w:cs="Arial"/>
          <w:b/>
          <w:bCs/>
          <w:sz w:val="28"/>
          <w:szCs w:val="28"/>
          <w:lang w:val="es-ES"/>
        </w:rPr>
        <w:t>. Adaptaciones</w:t>
      </w:r>
      <w:r w:rsidR="00EA7F81">
        <w:rPr>
          <w:rFonts w:ascii="Arial" w:hAnsi="Arial" w:cs="Arial"/>
          <w:b/>
          <w:bCs/>
          <w:sz w:val="28"/>
          <w:szCs w:val="28"/>
          <w:lang w:val="es-ES"/>
        </w:rPr>
        <w:t xml:space="preserve"> de tiempos y medios</w:t>
      </w:r>
      <w:r w:rsidRPr="00944F0D">
        <w:rPr>
          <w:rFonts w:ascii="Arial" w:hAnsi="Arial" w:cs="Arial"/>
          <w:b/>
          <w:bCs/>
          <w:sz w:val="28"/>
          <w:szCs w:val="28"/>
          <w:lang w:val="es-ES"/>
        </w:rPr>
        <w:t xml:space="preserve"> </w:t>
      </w:r>
    </w:p>
    <w:p w14:paraId="2BD89D3D" w14:textId="6361350C" w:rsidR="004775BF" w:rsidRDefault="00EA7F81" w:rsidP="004775BF">
      <w:pPr>
        <w:pStyle w:val="Ningnestilodeprrafo"/>
        <w:spacing w:after="240" w:line="276" w:lineRule="auto"/>
        <w:jc w:val="both"/>
        <w:rPr>
          <w:rFonts w:ascii="Arial" w:hAnsi="Arial" w:cs="Arial"/>
          <w:sz w:val="21"/>
          <w:szCs w:val="21"/>
          <w:lang w:val="es-ES"/>
        </w:rPr>
      </w:pPr>
      <w:r w:rsidRPr="00EA7F81">
        <w:rPr>
          <w:rFonts w:ascii="Arial" w:hAnsi="Arial" w:cs="Arial"/>
          <w:sz w:val="21"/>
          <w:szCs w:val="21"/>
          <w:lang w:val="es-ES"/>
        </w:rPr>
        <w:t>El análisis de las adaptaciones solicitadas y concedidas revela una alta garantía de este derecho, pero un uso bajo por parte de los aspirantes.</w:t>
      </w:r>
    </w:p>
    <w:p w14:paraId="2766D4F0" w14:textId="40B1EFF8" w:rsidR="00EA7F81" w:rsidRPr="00EA7F81" w:rsidRDefault="00EA7F81" w:rsidP="00EA7F81">
      <w:pPr>
        <w:pStyle w:val="Ningnestilodeprrafo"/>
        <w:spacing w:after="240" w:line="276" w:lineRule="auto"/>
        <w:jc w:val="both"/>
        <w:rPr>
          <w:rFonts w:ascii="Arial" w:hAnsi="Arial" w:cs="Arial"/>
          <w:sz w:val="21"/>
          <w:szCs w:val="21"/>
          <w:lang w:val="es-ES"/>
        </w:rPr>
      </w:pPr>
      <w:r w:rsidRPr="00EA7F81">
        <w:rPr>
          <w:rFonts w:ascii="Arial" w:hAnsi="Arial" w:cs="Arial"/>
          <w:sz w:val="21"/>
          <w:szCs w:val="21"/>
          <w:lang w:val="es-ES"/>
        </w:rPr>
        <w:t>La concesión de adaptaciones de medios (materiales, técnicos) fue del 100% en 2023 y 2024, tanto en acceso libre como en promoción interna. La concesión de adaptaciones de tiempo también fue muy alta (entre 79% y 96%), siendo las denegaciones atribuibles a requisitos legales (como no acreditar el 33% de grado de discapacidad).</w:t>
      </w:r>
    </w:p>
    <w:p w14:paraId="747E0A2D" w14:textId="054FC27B" w:rsidR="00EA7F81" w:rsidRDefault="00EA7F81" w:rsidP="00EA7F81">
      <w:pPr>
        <w:pStyle w:val="Ningnestilodeprrafo"/>
        <w:spacing w:after="240" w:line="276" w:lineRule="auto"/>
        <w:jc w:val="both"/>
        <w:rPr>
          <w:rFonts w:ascii="Arial" w:hAnsi="Arial" w:cs="Arial"/>
          <w:sz w:val="21"/>
          <w:szCs w:val="21"/>
          <w:lang w:val="es-ES"/>
        </w:rPr>
      </w:pPr>
      <w:r w:rsidRPr="00EA7F81">
        <w:rPr>
          <w:rFonts w:ascii="Arial" w:hAnsi="Arial" w:cs="Arial"/>
          <w:sz w:val="21"/>
          <w:szCs w:val="21"/>
          <w:lang w:val="es-ES"/>
        </w:rPr>
        <w:t>El hallazgo más significativo es que "menos de la mitad de las personas que acceden por el cupo de reserva [...] solicita adaptaciones". En 2024, solo el 40% de los admitidos en acceso libre y el 64% en promoción interna pidieron algún tipo de ajuste. El informe sugiere que esto puede deberse a que "una parte significativa del colectivo no lo considera necesario, o no conoce este derecho".</w:t>
      </w:r>
    </w:p>
    <w:p w14:paraId="1E57EFF9" w14:textId="300C35DC" w:rsidR="00903110" w:rsidRPr="00903110" w:rsidRDefault="00903110" w:rsidP="00903110">
      <w:pPr>
        <w:pStyle w:val="Ningnestilodeprrafo"/>
        <w:spacing w:after="240" w:line="276" w:lineRule="auto"/>
        <w:rPr>
          <w:rFonts w:ascii="Arial" w:hAnsi="Arial" w:cs="Arial"/>
          <w:b/>
          <w:bCs/>
          <w:sz w:val="28"/>
          <w:szCs w:val="28"/>
          <w:lang w:val="es-ES"/>
        </w:rPr>
      </w:pPr>
      <w:r>
        <w:rPr>
          <w:rFonts w:ascii="Arial" w:hAnsi="Arial" w:cs="Arial"/>
          <w:b/>
          <w:bCs/>
          <w:sz w:val="28"/>
          <w:szCs w:val="28"/>
          <w:lang w:val="es-ES"/>
        </w:rPr>
        <w:t xml:space="preserve">6. </w:t>
      </w:r>
      <w:r w:rsidRPr="00903110">
        <w:rPr>
          <w:rFonts w:ascii="Arial" w:hAnsi="Arial" w:cs="Arial"/>
          <w:b/>
          <w:bCs/>
          <w:sz w:val="28"/>
          <w:szCs w:val="28"/>
          <w:lang w:val="es-ES"/>
        </w:rPr>
        <w:t>Situación en las Comunidades Autónomas (2023-2024)</w:t>
      </w:r>
    </w:p>
    <w:p w14:paraId="2E9DED1D" w14:textId="77777777" w:rsidR="00903110" w:rsidRPr="00903110" w:rsidRDefault="00903110" w:rsidP="00903110">
      <w:pPr>
        <w:pStyle w:val="Ningnestilodeprrafo"/>
        <w:spacing w:after="240" w:line="276" w:lineRule="auto"/>
        <w:jc w:val="both"/>
        <w:rPr>
          <w:rFonts w:ascii="Arial" w:hAnsi="Arial" w:cs="Arial"/>
          <w:sz w:val="21"/>
          <w:szCs w:val="21"/>
          <w:lang w:val="es-ES"/>
        </w:rPr>
      </w:pPr>
      <w:r w:rsidRPr="00903110">
        <w:rPr>
          <w:rFonts w:ascii="Arial" w:hAnsi="Arial" w:cs="Arial"/>
          <w:sz w:val="21"/>
          <w:szCs w:val="21"/>
          <w:lang w:val="es-ES"/>
        </w:rPr>
        <w:t>El informe analiza la reserva de plazas para personas con discapacidad en las Ofertas de Empleo Público (OEP) de las distintas Comunidades Autónomas (CCAA) para los años 2023 y 2024, comparando sus normativas y la aplicación práctica en las convocatorias.</w:t>
      </w:r>
    </w:p>
    <w:p w14:paraId="002C312B" w14:textId="77777777" w:rsidR="00903110" w:rsidRPr="00903110" w:rsidRDefault="00903110" w:rsidP="00903110">
      <w:pPr>
        <w:pStyle w:val="Ningnestilodeprrafo"/>
        <w:spacing w:after="240" w:line="276" w:lineRule="auto"/>
        <w:jc w:val="both"/>
        <w:rPr>
          <w:rFonts w:ascii="Arial" w:hAnsi="Arial" w:cs="Arial"/>
          <w:sz w:val="21"/>
          <w:szCs w:val="21"/>
          <w:lang w:val="es-ES"/>
        </w:rPr>
      </w:pPr>
      <w:r w:rsidRPr="00903110">
        <w:rPr>
          <w:rFonts w:ascii="Arial" w:hAnsi="Arial" w:cs="Arial"/>
          <w:sz w:val="21"/>
          <w:szCs w:val="21"/>
          <w:lang w:val="es-ES"/>
        </w:rPr>
        <w:t>El análisis revela una "notable diversidad" entre lo que establecen las normas autonómicas y su aplicación efectiva en las OEP. A pesar de esta variabilidad, el informe identifica una tendencia general a incrementar los cupos de reserva, especialmente en las plazas de Administración General.</w:t>
      </w:r>
    </w:p>
    <w:p w14:paraId="6B7C9AAD" w14:textId="7138A075" w:rsidR="00903110" w:rsidRPr="00903110" w:rsidRDefault="00903110" w:rsidP="00903110">
      <w:pPr>
        <w:pStyle w:val="Ningnestilodeprrafo"/>
        <w:spacing w:after="240" w:line="276" w:lineRule="auto"/>
        <w:jc w:val="both"/>
        <w:rPr>
          <w:rFonts w:ascii="Arial" w:hAnsi="Arial" w:cs="Arial"/>
          <w:sz w:val="21"/>
          <w:szCs w:val="21"/>
          <w:lang w:val="es-ES"/>
        </w:rPr>
      </w:pPr>
      <w:r w:rsidRPr="00903110">
        <w:rPr>
          <w:rFonts w:ascii="Arial" w:hAnsi="Arial" w:cs="Arial"/>
          <w:b/>
          <w:bCs/>
          <w:sz w:val="21"/>
          <w:szCs w:val="21"/>
          <w:lang w:val="es-ES"/>
        </w:rPr>
        <w:t>Administración General</w:t>
      </w:r>
    </w:p>
    <w:p w14:paraId="3930C2F8" w14:textId="03DA23F5" w:rsidR="00903110" w:rsidRPr="00903110" w:rsidRDefault="00903110" w:rsidP="00903110">
      <w:pPr>
        <w:pStyle w:val="Ningnestilodeprrafo"/>
        <w:spacing w:after="240" w:line="276" w:lineRule="auto"/>
        <w:jc w:val="both"/>
        <w:rPr>
          <w:rFonts w:ascii="Arial" w:hAnsi="Arial" w:cs="Arial"/>
          <w:sz w:val="21"/>
          <w:szCs w:val="21"/>
          <w:lang w:val="es-ES"/>
        </w:rPr>
      </w:pPr>
      <w:r w:rsidRPr="00903110">
        <w:rPr>
          <w:rFonts w:ascii="Arial" w:hAnsi="Arial" w:cs="Arial"/>
          <w:sz w:val="21"/>
          <w:szCs w:val="21"/>
          <w:lang w:val="es-ES"/>
        </w:rPr>
        <w:t xml:space="preserve">Mientras varias CCAA se rigen por el mínimo estatal del 7% (como Asturias o Región de Murcia), otras han elevado este umbral en sus propias leyes, estableciendo reservas del 10% (como Castilla y León, Extremadura o </w:t>
      </w:r>
      <w:proofErr w:type="spellStart"/>
      <w:r w:rsidRPr="00903110">
        <w:rPr>
          <w:rFonts w:ascii="Arial" w:hAnsi="Arial" w:cs="Arial"/>
          <w:sz w:val="21"/>
          <w:szCs w:val="21"/>
          <w:lang w:val="es-ES"/>
        </w:rPr>
        <w:t>Comunitat</w:t>
      </w:r>
      <w:proofErr w:type="spellEnd"/>
      <w:r w:rsidRPr="00903110">
        <w:rPr>
          <w:rFonts w:ascii="Arial" w:hAnsi="Arial" w:cs="Arial"/>
          <w:sz w:val="21"/>
          <w:szCs w:val="21"/>
          <w:lang w:val="es-ES"/>
        </w:rPr>
        <w:t xml:space="preserve"> Valenciana).</w:t>
      </w:r>
    </w:p>
    <w:p w14:paraId="0B9685D3" w14:textId="53C74D33" w:rsidR="00903110" w:rsidRPr="00903110" w:rsidRDefault="00903110" w:rsidP="00903110">
      <w:pPr>
        <w:pStyle w:val="Ningnestilodeprrafo"/>
        <w:spacing w:after="240" w:line="276" w:lineRule="auto"/>
        <w:jc w:val="both"/>
        <w:rPr>
          <w:rFonts w:ascii="Arial" w:hAnsi="Arial" w:cs="Arial"/>
          <w:sz w:val="21"/>
          <w:szCs w:val="21"/>
          <w:lang w:val="es-ES"/>
        </w:rPr>
      </w:pPr>
      <w:r w:rsidRPr="00903110">
        <w:rPr>
          <w:rFonts w:ascii="Arial" w:hAnsi="Arial" w:cs="Arial"/>
          <w:sz w:val="21"/>
          <w:szCs w:val="21"/>
          <w:lang w:val="es-ES"/>
        </w:rPr>
        <w:t xml:space="preserve">El informe destaca que, en las OEP de 2024, CCAA como Canarias, Castilla-La Mancha, Catalunya y </w:t>
      </w:r>
      <w:proofErr w:type="spellStart"/>
      <w:r w:rsidRPr="00903110">
        <w:rPr>
          <w:rFonts w:ascii="Arial" w:hAnsi="Arial" w:cs="Arial"/>
          <w:sz w:val="21"/>
          <w:szCs w:val="21"/>
          <w:lang w:val="es-ES"/>
        </w:rPr>
        <w:t>Comunitat</w:t>
      </w:r>
      <w:proofErr w:type="spellEnd"/>
      <w:r w:rsidRPr="00903110">
        <w:rPr>
          <w:rFonts w:ascii="Arial" w:hAnsi="Arial" w:cs="Arial"/>
          <w:sz w:val="21"/>
          <w:szCs w:val="21"/>
          <w:lang w:val="es-ES"/>
        </w:rPr>
        <w:t xml:space="preserve"> Valenciana ampliaron "de manera considerable" la reserva destinada a personas con discapacidad, en algunos casos incluso por encima de lo que sus normativas de referencia establecían.</w:t>
      </w:r>
    </w:p>
    <w:p w14:paraId="09691E2F" w14:textId="47374531" w:rsidR="00903110" w:rsidRPr="00903110" w:rsidRDefault="00903110" w:rsidP="00903110">
      <w:pPr>
        <w:pStyle w:val="Ningnestilodeprrafo"/>
        <w:spacing w:after="240" w:line="276" w:lineRule="auto"/>
        <w:jc w:val="both"/>
        <w:rPr>
          <w:rFonts w:ascii="Arial" w:hAnsi="Arial" w:cs="Arial"/>
          <w:sz w:val="21"/>
          <w:szCs w:val="21"/>
          <w:lang w:val="es-ES"/>
        </w:rPr>
      </w:pPr>
      <w:r w:rsidRPr="00903110">
        <w:rPr>
          <w:rFonts w:ascii="Arial" w:hAnsi="Arial" w:cs="Arial"/>
          <w:sz w:val="21"/>
          <w:szCs w:val="21"/>
          <w:lang w:val="es-ES"/>
        </w:rPr>
        <w:lastRenderedPageBreak/>
        <w:t xml:space="preserve">Algunas CCAA como Andalucía, Aragón o </w:t>
      </w:r>
      <w:proofErr w:type="spellStart"/>
      <w:r w:rsidRPr="00903110">
        <w:rPr>
          <w:rFonts w:ascii="Arial" w:hAnsi="Arial" w:cs="Arial"/>
          <w:sz w:val="21"/>
          <w:szCs w:val="21"/>
          <w:lang w:val="es-ES"/>
        </w:rPr>
        <w:t>Comunitat</w:t>
      </w:r>
      <w:proofErr w:type="spellEnd"/>
      <w:r w:rsidRPr="00903110">
        <w:rPr>
          <w:rFonts w:ascii="Arial" w:hAnsi="Arial" w:cs="Arial"/>
          <w:sz w:val="21"/>
          <w:szCs w:val="21"/>
          <w:lang w:val="es-ES"/>
        </w:rPr>
        <w:t xml:space="preserve"> Valenciana incluyen en sus OEP cupos específicos para personas con discapacidad intelectual y también para personas con enfermedad mental.</w:t>
      </w:r>
    </w:p>
    <w:p w14:paraId="56479573" w14:textId="1FFF9916" w:rsidR="00903110" w:rsidRPr="00903110" w:rsidRDefault="00903110" w:rsidP="00903110">
      <w:pPr>
        <w:pStyle w:val="Ningnestilodeprrafo"/>
        <w:spacing w:after="240" w:line="276" w:lineRule="auto"/>
        <w:jc w:val="both"/>
        <w:rPr>
          <w:rFonts w:ascii="Arial" w:hAnsi="Arial" w:cs="Arial"/>
          <w:sz w:val="21"/>
          <w:szCs w:val="21"/>
          <w:lang w:val="es-ES"/>
        </w:rPr>
      </w:pPr>
      <w:r w:rsidRPr="00903110">
        <w:rPr>
          <w:rFonts w:ascii="Arial" w:hAnsi="Arial" w:cs="Arial"/>
          <w:b/>
          <w:bCs/>
          <w:sz w:val="21"/>
          <w:szCs w:val="21"/>
          <w:lang w:val="es-ES"/>
        </w:rPr>
        <w:t>Servicios de Salud</w:t>
      </w:r>
    </w:p>
    <w:p w14:paraId="6BF50DE7" w14:textId="59DEBA2D" w:rsidR="00903110" w:rsidRPr="00903110" w:rsidRDefault="00903110" w:rsidP="00903110">
      <w:pPr>
        <w:pStyle w:val="Ningnestilodeprrafo"/>
        <w:spacing w:after="240" w:line="276" w:lineRule="auto"/>
        <w:jc w:val="both"/>
        <w:rPr>
          <w:rFonts w:ascii="Arial" w:hAnsi="Arial" w:cs="Arial"/>
          <w:sz w:val="21"/>
          <w:szCs w:val="21"/>
          <w:lang w:val="es-ES"/>
        </w:rPr>
      </w:pPr>
      <w:r w:rsidRPr="00903110">
        <w:rPr>
          <w:rFonts w:ascii="Arial" w:hAnsi="Arial" w:cs="Arial"/>
          <w:sz w:val="21"/>
          <w:szCs w:val="21"/>
          <w:lang w:val="es-ES"/>
        </w:rPr>
        <w:t>En contraste con la Administración General, el informe señala que la mayoría de las CCAA no desglosan los cupos de reserva para personas con discapacidad en sus OEP de Servicios de Salud para 2023 y 2024.</w:t>
      </w:r>
    </w:p>
    <w:p w14:paraId="616CD560" w14:textId="6568CBE0" w:rsidR="00EA7F81" w:rsidRDefault="009D7D0E" w:rsidP="00903110">
      <w:pPr>
        <w:pStyle w:val="Ningnestilodeprrafo"/>
        <w:spacing w:after="240" w:line="276" w:lineRule="auto"/>
        <w:jc w:val="both"/>
        <w:rPr>
          <w:rFonts w:ascii="Arial" w:hAnsi="Arial" w:cs="Arial"/>
          <w:sz w:val="21"/>
          <w:szCs w:val="21"/>
          <w:lang w:val="es-ES"/>
        </w:rPr>
      </w:pPr>
      <w:r>
        <w:rPr>
          <w:rFonts w:ascii="Arial" w:hAnsi="Arial" w:cs="Arial"/>
          <w:noProof/>
          <w:sz w:val="21"/>
          <w:szCs w:val="21"/>
          <w:lang w:val="es-ES"/>
        </w:rPr>
        <w:drawing>
          <wp:anchor distT="0" distB="0" distL="114300" distR="114300" simplePos="0" relativeHeight="251684864" behindDoc="0" locked="0" layoutInCell="1" allowOverlap="1" wp14:anchorId="17F76252" wp14:editId="499019A6">
            <wp:simplePos x="0" y="0"/>
            <wp:positionH relativeFrom="column">
              <wp:posOffset>81887</wp:posOffset>
            </wp:positionH>
            <wp:positionV relativeFrom="paragraph">
              <wp:posOffset>729236</wp:posOffset>
            </wp:positionV>
            <wp:extent cx="6127115" cy="4389755"/>
            <wp:effectExtent l="19050" t="19050" r="26035" b="10795"/>
            <wp:wrapSquare wrapText="bothSides"/>
            <wp:docPr id="217286563" name="Imagen 12" descr="Comparación 2023→2024 por comunidad: Canarias 7→10; Castilla-La Mancha 7→11; Catalunya 9→10; Comunidad Valenciana 8→10; Comunidad de Madrid 4→5; Aragón 7→5; Asturias 8→7; Galicia 9→5; Andalucía 10→10; Cantabria 6→6; La Rioja 7→7; Región de Murcia 7→7; Comunidad Foral de Navarra 7→7; Illes Balears, Castilla y León, Extremadura y Euskadi: 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86563" name="Imagen 12" descr="Comparación 2023→2024 por comunidad: Canarias 7→10; Castilla-La Mancha 7→11; Catalunya 9→10; Comunidad Valenciana 8→10; Comunidad de Madrid 4→5; Aragón 7→5; Asturias 8→7; Galicia 9→5; Andalucía 10→10; Cantabria 6→6; La Rioja 7→7; Región de Murcia 7→7; Comunidad Foral de Navarra 7→7; Illes Balears, Castilla y León, Extremadura y Euskadi: 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7115" cy="4389755"/>
                    </a:xfrm>
                    <a:prstGeom prst="rect">
                      <a:avLst/>
                    </a:prstGeom>
                    <a:noFill/>
                    <a:ln>
                      <a:solidFill>
                        <a:schemeClr val="bg1">
                          <a:lumMod val="75000"/>
                        </a:schemeClr>
                      </a:solidFill>
                    </a:ln>
                  </pic:spPr>
                </pic:pic>
              </a:graphicData>
            </a:graphic>
          </wp:anchor>
        </w:drawing>
      </w:r>
      <w:r w:rsidR="00903110" w:rsidRPr="00903110">
        <w:rPr>
          <w:rFonts w:ascii="Arial" w:hAnsi="Arial" w:cs="Arial"/>
          <w:sz w:val="21"/>
          <w:szCs w:val="21"/>
          <w:lang w:val="es-ES"/>
        </w:rPr>
        <w:t>En muchos casos, aunque las OEP mencionan un porcentaje de reserva global, no proporcionan datos desglosados de cuántas plazas se destinan al cupo de discapacidad general o intelectual, una situación que el informe marca como "ND" (No disponible) en sus tablas resumen.</w:t>
      </w:r>
    </w:p>
    <w:p w14:paraId="5AF90743" w14:textId="77777777" w:rsidR="009A23A3" w:rsidRPr="00DB6432" w:rsidRDefault="009A23A3" w:rsidP="009A23A3">
      <w:pPr>
        <w:pStyle w:val="Ningnestilodeprrafo"/>
        <w:spacing w:after="240" w:line="276" w:lineRule="auto"/>
        <w:ind w:left="708"/>
        <w:contextualSpacing/>
        <w:jc w:val="center"/>
        <w:rPr>
          <w:rFonts w:ascii="Arial" w:hAnsi="Arial" w:cs="Arial"/>
          <w:sz w:val="18"/>
          <w:szCs w:val="18"/>
          <w:lang w:val="es-ES"/>
        </w:rPr>
      </w:pPr>
      <w:r>
        <w:rPr>
          <w:rFonts w:ascii="Arial" w:hAnsi="Arial" w:cs="Arial"/>
          <w:sz w:val="18"/>
          <w:szCs w:val="18"/>
          <w:lang w:val="es-ES"/>
        </w:rPr>
        <w:t>Fuente: elaboración propia a partir de los datos del Informe</w:t>
      </w:r>
    </w:p>
    <w:p w14:paraId="502C4F21" w14:textId="1E379A8C" w:rsidR="009D7D0E" w:rsidRDefault="009D7D0E" w:rsidP="00903110">
      <w:pPr>
        <w:pStyle w:val="Ningnestilodeprrafo"/>
        <w:spacing w:after="240" w:line="276" w:lineRule="auto"/>
        <w:jc w:val="both"/>
        <w:rPr>
          <w:rFonts w:ascii="Arial" w:hAnsi="Arial" w:cs="Arial"/>
          <w:sz w:val="21"/>
          <w:szCs w:val="21"/>
          <w:lang w:val="es-ES"/>
        </w:rPr>
      </w:pPr>
    </w:p>
    <w:p w14:paraId="699A3760" w14:textId="77777777" w:rsidR="009D7D0E" w:rsidRDefault="009D7D0E" w:rsidP="00903110">
      <w:pPr>
        <w:pStyle w:val="Ningnestilodeprrafo"/>
        <w:spacing w:after="240" w:line="276" w:lineRule="auto"/>
        <w:jc w:val="both"/>
        <w:rPr>
          <w:rFonts w:ascii="Arial" w:hAnsi="Arial" w:cs="Arial"/>
          <w:sz w:val="21"/>
          <w:szCs w:val="21"/>
          <w:lang w:val="es-ES"/>
        </w:rPr>
      </w:pPr>
    </w:p>
    <w:p w14:paraId="5A2D1B07" w14:textId="77777777" w:rsidR="009A23A3" w:rsidRDefault="009A23A3" w:rsidP="00903110">
      <w:pPr>
        <w:pStyle w:val="Ningnestilodeprrafo"/>
        <w:spacing w:after="240" w:line="276" w:lineRule="auto"/>
        <w:jc w:val="both"/>
        <w:rPr>
          <w:rFonts w:ascii="Arial" w:hAnsi="Arial" w:cs="Arial"/>
          <w:sz w:val="21"/>
          <w:szCs w:val="21"/>
          <w:lang w:val="es-ES"/>
        </w:rPr>
      </w:pPr>
    </w:p>
    <w:p w14:paraId="3F041E02" w14:textId="77777777" w:rsidR="009A23A3" w:rsidRDefault="009A23A3" w:rsidP="00903110">
      <w:pPr>
        <w:pStyle w:val="Ningnestilodeprrafo"/>
        <w:spacing w:after="240" w:line="276" w:lineRule="auto"/>
        <w:jc w:val="both"/>
        <w:rPr>
          <w:rFonts w:ascii="Arial" w:hAnsi="Arial" w:cs="Arial"/>
          <w:sz w:val="21"/>
          <w:szCs w:val="21"/>
          <w:lang w:val="es-ES"/>
        </w:rPr>
      </w:pPr>
    </w:p>
    <w:p w14:paraId="6C4B4B6B" w14:textId="521849E6" w:rsidR="00EA7F81" w:rsidRPr="00944F0D" w:rsidRDefault="00EA7F81" w:rsidP="00EA7F81">
      <w:pPr>
        <w:pStyle w:val="Ningnestilodeprrafo"/>
        <w:spacing w:after="240" w:line="276" w:lineRule="auto"/>
        <w:rPr>
          <w:rFonts w:ascii="Arial" w:hAnsi="Arial" w:cs="Arial"/>
          <w:sz w:val="21"/>
          <w:szCs w:val="21"/>
          <w:lang w:val="es-ES"/>
        </w:rPr>
      </w:pPr>
      <w:r>
        <w:rPr>
          <w:rFonts w:ascii="Arial" w:hAnsi="Arial" w:cs="Arial"/>
          <w:b/>
          <w:bCs/>
          <w:sz w:val="28"/>
          <w:szCs w:val="28"/>
          <w:lang w:val="es-ES"/>
        </w:rPr>
        <w:lastRenderedPageBreak/>
        <w:t>Conclusiones</w:t>
      </w:r>
    </w:p>
    <w:p w14:paraId="0D09D636" w14:textId="33A59137" w:rsidR="00EA7F81" w:rsidRPr="00EA7F81" w:rsidRDefault="00EA7F81" w:rsidP="00EA7F81">
      <w:pPr>
        <w:pStyle w:val="Ningnestilodeprrafo"/>
        <w:spacing w:after="240" w:line="276" w:lineRule="auto"/>
        <w:jc w:val="both"/>
        <w:rPr>
          <w:rFonts w:ascii="Arial" w:hAnsi="Arial" w:cs="Arial"/>
          <w:sz w:val="21"/>
          <w:szCs w:val="21"/>
          <w:lang w:val="es-ES"/>
        </w:rPr>
      </w:pPr>
      <w:r w:rsidRPr="00EA7F81">
        <w:rPr>
          <w:rFonts w:ascii="Arial" w:hAnsi="Arial" w:cs="Arial"/>
          <w:sz w:val="21"/>
          <w:szCs w:val="21"/>
          <w:lang w:val="es-ES"/>
        </w:rPr>
        <w:t>El informe oficial de 2025 dibuja un panorama de avances significativos y desafíos estructurales. El periodo 2023-2024 ha sido un punto de inflexión normativo, con la aplicación de la nueva cuota de reserva del 10%, y un hito social, con la consecución de la paridad de género en el acceso libre para personas con discapacidad. Asimismo, se ha roto una barrera al incluir, por primera vez, a la discapacidad intelectual en la promoción interna del personal laboral.</w:t>
      </w:r>
    </w:p>
    <w:p w14:paraId="41D74515" w14:textId="0723EDD1" w:rsidR="00EA7F81" w:rsidRDefault="00EA7F81" w:rsidP="00EA7F81">
      <w:pPr>
        <w:pStyle w:val="Ningnestilodeprrafo"/>
        <w:spacing w:after="240" w:line="276" w:lineRule="auto"/>
        <w:jc w:val="both"/>
        <w:rPr>
          <w:rFonts w:ascii="Arial" w:hAnsi="Arial" w:cs="Arial"/>
          <w:sz w:val="21"/>
          <w:szCs w:val="21"/>
          <w:lang w:val="es-ES"/>
        </w:rPr>
      </w:pPr>
      <w:r w:rsidRPr="00EA7F81">
        <w:rPr>
          <w:rFonts w:ascii="Arial" w:hAnsi="Arial" w:cs="Arial"/>
          <w:sz w:val="21"/>
          <w:szCs w:val="21"/>
          <w:lang w:val="es-ES"/>
        </w:rPr>
        <w:t>Sin embargo, los datos también exponen retos persistentes. La cobertura de plazas en promoción interna es notablemente baja (14.01% en 2024), y la cobertura en cuerpos superiores de acceso libre es prácticamente nula. La baja tasa de solicitud de adaptaciones y la concentración de plazas para discapacidad intelectual en el subgrupo C2 completan un diagnóstico complejo que muestra una Administración con altas tasas de garantía de derechos cuando se solicitan, pero con dificultades para cubrir las plazas reservadas en los niveles superiores y de promoción interna.</w:t>
      </w:r>
    </w:p>
    <w:p w14:paraId="757F38AD" w14:textId="77777777" w:rsidR="00EA7F81" w:rsidRDefault="00EA7F81" w:rsidP="00EA7F81">
      <w:pPr>
        <w:pStyle w:val="Ningnestilodeprrafo"/>
        <w:spacing w:after="240" w:line="276" w:lineRule="auto"/>
        <w:jc w:val="both"/>
        <w:rPr>
          <w:rFonts w:ascii="Arial" w:hAnsi="Arial" w:cs="Arial"/>
          <w:sz w:val="21"/>
          <w:szCs w:val="21"/>
          <w:lang w:val="es-ES"/>
        </w:rPr>
      </w:pPr>
    </w:p>
    <w:p w14:paraId="3D590107" w14:textId="77777777" w:rsidR="00321C65" w:rsidRDefault="00EA7F81" w:rsidP="00EA7F81">
      <w:pPr>
        <w:pStyle w:val="Ningnestilodeprrafo"/>
        <w:spacing w:after="240" w:line="276" w:lineRule="auto"/>
        <w:jc w:val="both"/>
        <w:rPr>
          <w:rFonts w:ascii="Arial" w:hAnsi="Arial" w:cs="Arial"/>
          <w:sz w:val="21"/>
          <w:szCs w:val="21"/>
          <w:lang w:val="es-ES"/>
        </w:rPr>
      </w:pPr>
      <w:r w:rsidRPr="00EA7F81">
        <w:rPr>
          <w:rFonts w:ascii="Arial" w:hAnsi="Arial" w:cs="Arial"/>
          <w:sz w:val="21"/>
          <w:szCs w:val="21"/>
          <w:lang w:val="es-ES"/>
        </w:rPr>
        <w:t>Fuente: INFORME SOBRE EL ACCESO DE LAS PERSONAS CON DISCAPACIDAD AL EMPLEO PÚBLICO EN LA ADMINISTRACIÓN DEL ESTADO. Ofertas de empleo público de los ejercicios 2023 y 2024.</w:t>
      </w:r>
      <w:r w:rsidR="00321C65" w:rsidRPr="00321C65">
        <w:rPr>
          <w:rFonts w:ascii="Arial" w:hAnsi="Arial" w:cs="Arial"/>
          <w:sz w:val="21"/>
          <w:szCs w:val="21"/>
          <w:lang w:val="es-ES"/>
        </w:rPr>
        <w:t xml:space="preserve"> </w:t>
      </w:r>
    </w:p>
    <w:p w14:paraId="324BB01D" w14:textId="048FA098" w:rsidR="00EA7F81" w:rsidRPr="00944F0D" w:rsidRDefault="00321C65" w:rsidP="00EA7F81">
      <w:pPr>
        <w:pStyle w:val="Ningnestilodeprrafo"/>
        <w:spacing w:after="240" w:line="276" w:lineRule="auto"/>
        <w:jc w:val="both"/>
        <w:rPr>
          <w:rFonts w:ascii="Arial" w:hAnsi="Arial" w:cs="Arial"/>
          <w:sz w:val="21"/>
          <w:szCs w:val="21"/>
          <w:lang w:val="es-ES"/>
        </w:rPr>
      </w:pPr>
      <w:r w:rsidRPr="00EA7F81">
        <w:rPr>
          <w:rFonts w:ascii="Arial" w:hAnsi="Arial" w:cs="Arial"/>
          <w:sz w:val="21"/>
          <w:szCs w:val="21"/>
          <w:lang w:val="es-ES"/>
        </w:rPr>
        <w:t>MINISTERIO PARA LA TRANSFORMACIÓN DIGITAL Y DE LA FUNCIÓN PÚBLICA (</w:t>
      </w:r>
      <w:r>
        <w:rPr>
          <w:rFonts w:ascii="Arial" w:hAnsi="Arial" w:cs="Arial"/>
          <w:sz w:val="21"/>
          <w:szCs w:val="21"/>
          <w:lang w:val="es-ES"/>
        </w:rPr>
        <w:t>OCTUBRE</w:t>
      </w:r>
      <w:r w:rsidRPr="00EA7F81">
        <w:rPr>
          <w:rFonts w:ascii="Arial" w:hAnsi="Arial" w:cs="Arial"/>
          <w:sz w:val="21"/>
          <w:szCs w:val="21"/>
          <w:lang w:val="es-ES"/>
        </w:rPr>
        <w:t xml:space="preserve"> 2025).</w:t>
      </w:r>
    </w:p>
    <w:bookmarkEnd w:id="0"/>
    <w:p w14:paraId="78C02CF1" w14:textId="78C14AEF" w:rsidR="00AC3AA9" w:rsidRPr="00944F0D" w:rsidRDefault="00C65ACE" w:rsidP="001B2516">
      <w:pPr>
        <w:pStyle w:val="Ningnestilodeprrafo"/>
        <w:spacing w:after="240" w:line="276" w:lineRule="auto"/>
        <w:rPr>
          <w:rFonts w:ascii="Arial" w:hAnsi="Arial" w:cs="Arial"/>
          <w:sz w:val="21"/>
          <w:szCs w:val="21"/>
          <w:lang w:val="es-ES"/>
        </w:rPr>
        <w:sectPr w:rsidR="00AC3AA9" w:rsidRPr="00944F0D" w:rsidSect="00D9415A">
          <w:headerReference w:type="default" r:id="rId20"/>
          <w:footerReference w:type="default" r:id="rId21"/>
          <w:pgSz w:w="11906" w:h="16838" w:code="9"/>
          <w:pgMar w:top="-1937" w:right="1418" w:bottom="1842" w:left="1418" w:header="0" w:footer="0" w:gutter="0"/>
          <w:pgNumType w:start="1"/>
          <w:cols w:space="720"/>
          <w:docGrid w:linePitch="360"/>
        </w:sectPr>
      </w:pPr>
      <w:r w:rsidRPr="00944F0D">
        <w:rPr>
          <w:rFonts w:ascii="Arial" w:hAnsi="Arial" w:cs="Arial"/>
          <w:sz w:val="21"/>
          <w:szCs w:val="21"/>
          <w:lang w:val="es-ES"/>
        </w:rPr>
        <w:t>.</w:t>
      </w:r>
    </w:p>
    <w:p w14:paraId="7F890897" w14:textId="593ACDAB" w:rsidR="00826DB0" w:rsidRPr="006E0EA2" w:rsidRDefault="000A76F4" w:rsidP="00AC3AA9">
      <w:pPr>
        <w:pStyle w:val="Ningnestilodeprrafo"/>
        <w:spacing w:after="480" w:line="276" w:lineRule="auto"/>
        <w:rPr>
          <w:rFonts w:ascii="Arial" w:hAnsi="Arial" w:cs="Arial"/>
          <w:sz w:val="21"/>
          <w:szCs w:val="21"/>
        </w:rPr>
      </w:pPr>
      <w:r w:rsidRPr="00133AE7">
        <w:rPr>
          <w:rFonts w:ascii="Arial" w:hAnsi="Arial" w:cs="Arial"/>
          <w:noProof/>
          <w:sz w:val="21"/>
          <w:szCs w:val="21"/>
          <w:lang w:val="es-ES"/>
        </w:rPr>
        <w:lastRenderedPageBreak/>
        <w:drawing>
          <wp:anchor distT="0" distB="0" distL="114300" distR="114300" simplePos="0" relativeHeight="251671552" behindDoc="0" locked="0" layoutInCell="1" allowOverlap="1" wp14:anchorId="527FEB07" wp14:editId="00D8E993">
            <wp:simplePos x="0" y="0"/>
            <wp:positionH relativeFrom="column">
              <wp:posOffset>4420870</wp:posOffset>
            </wp:positionH>
            <wp:positionV relativeFrom="paragraph">
              <wp:posOffset>6656705</wp:posOffset>
            </wp:positionV>
            <wp:extent cx="847090" cy="883920"/>
            <wp:effectExtent l="0" t="0" r="0" b="0"/>
            <wp:wrapNone/>
            <wp:docPr id="10" name="Imagen 3">
              <a:extLst xmlns:a="http://schemas.openxmlformats.org/drawingml/2006/main">
                <a:ext uri="{FF2B5EF4-FFF2-40B4-BE49-F238E27FC236}">
                  <a16:creationId xmlns:a16="http://schemas.microsoft.com/office/drawing/2014/main" id="{9C9FB798-C533-3F43-9680-19609A4062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3">
                      <a:extLst>
                        <a:ext uri="{FF2B5EF4-FFF2-40B4-BE49-F238E27FC236}">
                          <a16:creationId xmlns:a16="http://schemas.microsoft.com/office/drawing/2014/main" id="{9C9FB798-C533-3F43-9680-19609A40624B}"/>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7090" cy="883920"/>
                    </a:xfrm>
                    <a:prstGeom prst="rect">
                      <a:avLst/>
                    </a:prstGeom>
                  </pic:spPr>
                </pic:pic>
              </a:graphicData>
            </a:graphic>
            <wp14:sizeRelH relativeFrom="margin">
              <wp14:pctWidth>0</wp14:pctWidth>
            </wp14:sizeRelH>
            <wp14:sizeRelV relativeFrom="margin">
              <wp14:pctHeight>0</wp14:pctHeight>
            </wp14:sizeRelV>
          </wp:anchor>
        </w:drawing>
      </w:r>
      <w:r w:rsidR="00D67590">
        <w:rPr>
          <w:rFonts w:ascii="Arial" w:hAnsi="Arial" w:cs="Arial"/>
          <w:noProof/>
          <w:sz w:val="21"/>
          <w:szCs w:val="21"/>
        </w:rPr>
        <w:drawing>
          <wp:anchor distT="0" distB="0" distL="114300" distR="114300" simplePos="0" relativeHeight="251669504" behindDoc="0" locked="0" layoutInCell="1" allowOverlap="1" wp14:anchorId="143250B1" wp14:editId="7DB10DA6">
            <wp:simplePos x="0" y="0"/>
            <wp:positionH relativeFrom="margin">
              <wp:posOffset>-1022985</wp:posOffset>
            </wp:positionH>
            <wp:positionV relativeFrom="margin">
              <wp:posOffset>-1398905</wp:posOffset>
            </wp:positionV>
            <wp:extent cx="7539355" cy="10669905"/>
            <wp:effectExtent l="0" t="0" r="4445"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39355" cy="10669905"/>
                    </a:xfrm>
                    <a:prstGeom prst="rect">
                      <a:avLst/>
                    </a:prstGeom>
                  </pic:spPr>
                </pic:pic>
              </a:graphicData>
            </a:graphic>
            <wp14:sizeRelH relativeFrom="margin">
              <wp14:pctWidth>0</wp14:pctWidth>
            </wp14:sizeRelH>
            <wp14:sizeRelV relativeFrom="margin">
              <wp14:pctHeight>0</wp14:pctHeight>
            </wp14:sizeRelV>
          </wp:anchor>
        </w:drawing>
      </w:r>
      <w:r w:rsidR="007A7784" w:rsidRPr="00133AE7">
        <w:rPr>
          <w:rFonts w:ascii="Arial" w:hAnsi="Arial" w:cs="Arial"/>
          <w:noProof/>
          <w:sz w:val="21"/>
          <w:szCs w:val="21"/>
          <w:lang w:val="es-ES"/>
        </w:rPr>
        <w:drawing>
          <wp:anchor distT="0" distB="0" distL="114300" distR="114300" simplePos="0" relativeHeight="251674624" behindDoc="0" locked="0" layoutInCell="1" allowOverlap="1" wp14:anchorId="0D907761" wp14:editId="0A4E4188">
            <wp:simplePos x="0" y="0"/>
            <wp:positionH relativeFrom="column">
              <wp:posOffset>3846830</wp:posOffset>
            </wp:positionH>
            <wp:positionV relativeFrom="paragraph">
              <wp:posOffset>8523605</wp:posOffset>
            </wp:positionV>
            <wp:extent cx="870585" cy="870585"/>
            <wp:effectExtent l="0" t="0" r="0" b="0"/>
            <wp:wrapNone/>
            <wp:docPr id="14" name="Imagen 12" descr="Logotipo del Observatorio Estatal de la Discapacidad">
              <a:extLst xmlns:a="http://schemas.openxmlformats.org/drawingml/2006/main">
                <a:ext uri="{FF2B5EF4-FFF2-40B4-BE49-F238E27FC236}">
                  <a16:creationId xmlns:a16="http://schemas.microsoft.com/office/drawing/2014/main" id="{BCF583BA-9420-D24D-B2DE-139369804B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2" descr="Logotipo del Observatorio Estatal de la Discapacidad">
                      <a:extLst>
                        <a:ext uri="{FF2B5EF4-FFF2-40B4-BE49-F238E27FC236}">
                          <a16:creationId xmlns:a16="http://schemas.microsoft.com/office/drawing/2014/main" id="{BCF583BA-9420-D24D-B2DE-139369804BB8}"/>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70585" cy="870585"/>
                    </a:xfrm>
                    <a:prstGeom prst="rect">
                      <a:avLst/>
                    </a:prstGeom>
                  </pic:spPr>
                </pic:pic>
              </a:graphicData>
            </a:graphic>
            <wp14:sizeRelH relativeFrom="margin">
              <wp14:pctWidth>0</wp14:pctWidth>
            </wp14:sizeRelH>
            <wp14:sizeRelV relativeFrom="margin">
              <wp14:pctHeight>0</wp14:pctHeight>
            </wp14:sizeRelV>
          </wp:anchor>
        </w:drawing>
      </w:r>
      <w:r w:rsidR="00133AE7" w:rsidRPr="00133AE7">
        <w:rPr>
          <w:rFonts w:ascii="Arial" w:hAnsi="Arial" w:cs="Arial"/>
          <w:noProof/>
          <w:sz w:val="21"/>
          <w:szCs w:val="21"/>
          <w:lang w:val="es-ES"/>
        </w:rPr>
        <mc:AlternateContent>
          <mc:Choice Requires="wps">
            <w:drawing>
              <wp:anchor distT="0" distB="0" distL="114300" distR="114300" simplePos="0" relativeHeight="251673600" behindDoc="0" locked="0" layoutInCell="1" allowOverlap="1" wp14:anchorId="7261E69A" wp14:editId="30D890B1">
                <wp:simplePos x="0" y="0"/>
                <wp:positionH relativeFrom="column">
                  <wp:posOffset>-450850</wp:posOffset>
                </wp:positionH>
                <wp:positionV relativeFrom="paragraph">
                  <wp:posOffset>8871200</wp:posOffset>
                </wp:positionV>
                <wp:extent cx="3992880" cy="284480"/>
                <wp:effectExtent l="0" t="0" r="0" b="0"/>
                <wp:wrapNone/>
                <wp:docPr id="9" name="CuadroTexto 8">
                  <a:extLst xmlns:a="http://schemas.openxmlformats.org/drawingml/2006/main">
                    <a:ext uri="{FF2B5EF4-FFF2-40B4-BE49-F238E27FC236}">
                      <a16:creationId xmlns:a16="http://schemas.microsoft.com/office/drawing/2014/main" id="{25020667-8480-DF47-95D5-2C8E5A8D88A6}"/>
                    </a:ext>
                  </a:extLst>
                </wp:docPr>
                <wp:cNvGraphicFramePr/>
                <a:graphic xmlns:a="http://schemas.openxmlformats.org/drawingml/2006/main">
                  <a:graphicData uri="http://schemas.microsoft.com/office/word/2010/wordprocessingShape">
                    <wps:wsp>
                      <wps:cNvSpPr txBox="1"/>
                      <wps:spPr>
                        <a:xfrm>
                          <a:off x="0" y="0"/>
                          <a:ext cx="3992880" cy="284480"/>
                        </a:xfrm>
                        <a:prstGeom prst="rect">
                          <a:avLst/>
                        </a:prstGeom>
                        <a:noFill/>
                      </wps:spPr>
                      <wps:txbx>
                        <w:txbxContent>
                          <w:p w14:paraId="5F616521" w14:textId="77777777" w:rsidR="00133AE7" w:rsidRPr="007A7784" w:rsidRDefault="00133AE7" w:rsidP="00133AE7">
                            <w:pPr>
                              <w:pStyle w:val="NormalWeb"/>
                              <w:spacing w:before="0" w:beforeAutospacing="0" w:after="0" w:afterAutospacing="0"/>
                              <w:jc w:val="right"/>
                              <w:rPr>
                                <w:color w:val="FFFFFF" w:themeColor="background1"/>
                              </w:rPr>
                            </w:pPr>
                            <w:r w:rsidRPr="007A7784">
                              <w:rPr>
                                <w:rFonts w:ascii="Arial" w:hAnsi="Arial" w:cs="Arial"/>
                                <w:color w:val="FFFFFF" w:themeColor="background1"/>
                                <w:kern w:val="24"/>
                              </w:rPr>
                              <w:t>91 745 24 59    C/ Serrano 140 - 28006 Madrid</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261E69A" id="CuadroTexto 8" o:spid="_x0000_s1027" type="#_x0000_t202" style="position:absolute;margin-left:-35.5pt;margin-top:698.5pt;width:314.4pt;height:2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" filled="f" stroked="f">
                <v:textbox inset="0,0,0,0">
                  <w:txbxContent>
                    <w:p w14:paraId="5F616521" w14:textId="77777777" w:rsidR="00133AE7" w:rsidRPr="007A7784" w:rsidRDefault="00133AE7" w:rsidP="00133AE7">
                      <w:pPr>
                        <w:pStyle w:val="NormalWeb"/>
                        <w:spacing w:before="0" w:beforeAutospacing="0" w:after="0" w:afterAutospacing="0"/>
                        <w:jc w:val="right"/>
                        <w:rPr>
                          <w:color w:val="FFFFFF" w:themeColor="background1"/>
                        </w:rPr>
                      </w:pPr>
                      <w:r w:rsidRPr="007A7784">
                        <w:rPr>
                          <w:rFonts w:ascii="Arial" w:hAnsi="Arial" w:cs="Arial"/>
                          <w:color w:val="FFFFFF" w:themeColor="background1"/>
                          <w:kern w:val="24"/>
                        </w:rPr>
                        <w:t>91 745 24 59    C/ Serrano 140 - 28006 Madrid</w:t>
                      </w:r>
                    </w:p>
                  </w:txbxContent>
                </v:textbox>
              </v:shape>
            </w:pict>
          </mc:Fallback>
        </mc:AlternateContent>
      </w:r>
      <w:r w:rsidR="00133AE7" w:rsidRPr="00133AE7">
        <w:rPr>
          <w:rFonts w:ascii="Arial" w:hAnsi="Arial" w:cs="Arial"/>
          <w:noProof/>
          <w:sz w:val="21"/>
          <w:szCs w:val="21"/>
          <w:lang w:val="es-ES"/>
        </w:rPr>
        <mc:AlternateContent>
          <mc:Choice Requires="wps">
            <w:drawing>
              <wp:anchor distT="0" distB="0" distL="114300" distR="114300" simplePos="0" relativeHeight="251672576" behindDoc="0" locked="0" layoutInCell="1" allowOverlap="1" wp14:anchorId="7F339BC1" wp14:editId="3FF1053E">
                <wp:simplePos x="0" y="0"/>
                <wp:positionH relativeFrom="column">
                  <wp:posOffset>-239582</wp:posOffset>
                </wp:positionH>
                <wp:positionV relativeFrom="paragraph">
                  <wp:posOffset>6969125</wp:posOffset>
                </wp:positionV>
                <wp:extent cx="4332158" cy="284813"/>
                <wp:effectExtent l="0" t="0" r="0" b="0"/>
                <wp:wrapNone/>
                <wp:docPr id="7" name="CuadroTexto 4"/>
                <wp:cNvGraphicFramePr/>
                <a:graphic xmlns:a="http://schemas.openxmlformats.org/drawingml/2006/main">
                  <a:graphicData uri="http://schemas.microsoft.com/office/word/2010/wordprocessingShape">
                    <wps:wsp>
                      <wps:cNvSpPr txBox="1"/>
                      <wps:spPr>
                        <a:xfrm>
                          <a:off x="0" y="0"/>
                          <a:ext cx="4332158" cy="284813"/>
                        </a:xfrm>
                        <a:prstGeom prst="rect">
                          <a:avLst/>
                        </a:prstGeom>
                        <a:noFill/>
                      </wps:spPr>
                      <wps:txbx>
                        <w:txbxContent>
                          <w:p w14:paraId="3A89A5CB" w14:textId="4390C813" w:rsidR="00133AE7" w:rsidRPr="007A7784" w:rsidRDefault="00133AE7" w:rsidP="00133AE7">
                            <w:pPr>
                              <w:pStyle w:val="NormalWeb"/>
                              <w:spacing w:before="0" w:beforeAutospacing="0" w:after="0" w:afterAutospacing="0"/>
                              <w:jc w:val="right"/>
                              <w:rPr>
                                <w:color w:val="FFFFFF" w:themeColor="background1"/>
                              </w:rPr>
                            </w:pPr>
                            <w:r w:rsidRPr="007A7784">
                              <w:rPr>
                                <w:rFonts w:ascii="Arial" w:hAnsi="Arial" w:cs="Arial"/>
                                <w:b/>
                                <w:bCs/>
                                <w:color w:val="FFFFFF" w:themeColor="background1"/>
                                <w:kern w:val="24"/>
                                <w:sz w:val="32"/>
                                <w:szCs w:val="32"/>
                              </w:rPr>
                              <w:t>www.</w:t>
                            </w:r>
                            <w:r w:rsidR="00D67590">
                              <w:rPr>
                                <w:rFonts w:ascii="Arial" w:hAnsi="Arial" w:cs="Arial"/>
                                <w:b/>
                                <w:bCs/>
                                <w:color w:val="FFFFFF" w:themeColor="background1"/>
                                <w:kern w:val="24"/>
                                <w:sz w:val="32"/>
                                <w:szCs w:val="32"/>
                              </w:rPr>
                              <w:t>obsevatoriodeladiscapapacidad</w:t>
                            </w:r>
                            <w:r w:rsidRPr="007A7784">
                              <w:rPr>
                                <w:rFonts w:ascii="Arial" w:hAnsi="Arial" w:cs="Arial"/>
                                <w:b/>
                                <w:bCs/>
                                <w:color w:val="FFFFFF" w:themeColor="background1"/>
                                <w:kern w:val="24"/>
                                <w:sz w:val="32"/>
                                <w:szCs w:val="32"/>
                              </w:rPr>
                              <w:t>.</w:t>
                            </w:r>
                            <w:r w:rsidR="00D67590">
                              <w:rPr>
                                <w:rFonts w:ascii="Arial" w:hAnsi="Arial" w:cs="Arial"/>
                                <w:b/>
                                <w:bCs/>
                                <w:color w:val="FFFFFF" w:themeColor="background1"/>
                                <w:kern w:val="24"/>
                                <w:sz w:val="32"/>
                                <w:szCs w:val="32"/>
                              </w:rPr>
                              <w:t>info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F339BC1" id="CuadroTexto 4" o:spid="_x0000_s1028" type="#_x0000_t202" style="position:absolute;margin-left:-18.85pt;margin-top:548.75pt;width:341.1pt;height:22.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" filled="f" stroked="f">
                <v:textbox inset="0,0,0,0">
                  <w:txbxContent>
                    <w:p w14:paraId="3A89A5CB" w14:textId="4390C813" w:rsidR="00133AE7" w:rsidRPr="007A7784" w:rsidRDefault="00133AE7" w:rsidP="00133AE7">
                      <w:pPr>
                        <w:pStyle w:val="NormalWeb"/>
                        <w:spacing w:before="0" w:beforeAutospacing="0" w:after="0" w:afterAutospacing="0"/>
                        <w:jc w:val="right"/>
                        <w:rPr>
                          <w:color w:val="FFFFFF" w:themeColor="background1"/>
                        </w:rPr>
                      </w:pPr>
                      <w:r w:rsidRPr="007A7784">
                        <w:rPr>
                          <w:rFonts w:ascii="Arial" w:hAnsi="Arial" w:cs="Arial"/>
                          <w:b/>
                          <w:bCs/>
                          <w:color w:val="FFFFFF" w:themeColor="background1"/>
                          <w:kern w:val="24"/>
                          <w:sz w:val="32"/>
                          <w:szCs w:val="32"/>
                        </w:rPr>
                        <w:t>www.</w:t>
                      </w:r>
                      <w:r w:rsidR="00D67590">
                        <w:rPr>
                          <w:rFonts w:ascii="Arial" w:hAnsi="Arial" w:cs="Arial"/>
                          <w:b/>
                          <w:bCs/>
                          <w:color w:val="FFFFFF" w:themeColor="background1"/>
                          <w:kern w:val="24"/>
                          <w:sz w:val="32"/>
                          <w:szCs w:val="32"/>
                        </w:rPr>
                        <w:t>obsevatoriodeladiscapapacidad</w:t>
                      </w:r>
                      <w:r w:rsidRPr="007A7784">
                        <w:rPr>
                          <w:rFonts w:ascii="Arial" w:hAnsi="Arial" w:cs="Arial"/>
                          <w:b/>
                          <w:bCs/>
                          <w:color w:val="FFFFFF" w:themeColor="background1"/>
                          <w:kern w:val="24"/>
                          <w:sz w:val="32"/>
                          <w:szCs w:val="32"/>
                        </w:rPr>
                        <w:t>.</w:t>
                      </w:r>
                      <w:r w:rsidR="00D67590">
                        <w:rPr>
                          <w:rFonts w:ascii="Arial" w:hAnsi="Arial" w:cs="Arial"/>
                          <w:b/>
                          <w:bCs/>
                          <w:color w:val="FFFFFF" w:themeColor="background1"/>
                          <w:kern w:val="24"/>
                          <w:sz w:val="32"/>
                          <w:szCs w:val="32"/>
                        </w:rPr>
                        <w:t>info</w:t>
                      </w:r>
                    </w:p>
                  </w:txbxContent>
                </v:textbox>
              </v:shape>
            </w:pict>
          </mc:Fallback>
        </mc:AlternateContent>
      </w:r>
    </w:p>
    <w:sectPr w:rsidR="00826DB0" w:rsidRPr="006E0EA2" w:rsidSect="00D9415A">
      <w:headerReference w:type="default" r:id="rId25"/>
      <w:footerReference w:type="default" r:id="rId26"/>
      <w:pgSz w:w="11906" w:h="16838" w:code="9"/>
      <w:pgMar w:top="-1937" w:right="1418" w:bottom="1842" w:left="1418"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080F1E" w14:textId="77777777" w:rsidR="009B6FD9" w:rsidRDefault="009B6FD9" w:rsidP="00863913">
      <w:pPr>
        <w:spacing w:after="0" w:line="240" w:lineRule="auto"/>
      </w:pPr>
      <w:r>
        <w:separator/>
      </w:r>
    </w:p>
  </w:endnote>
  <w:endnote w:type="continuationSeparator" w:id="0">
    <w:p w14:paraId="21DD7EEC" w14:textId="77777777" w:rsidR="009B6FD9" w:rsidRDefault="009B6FD9" w:rsidP="00863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nionPro-Regular">
    <w:altName w:val="Calibri"/>
    <w:charset w:val="00"/>
    <w:family w:val="roman"/>
    <w:pitch w:val="variable"/>
    <w:sig w:usb0="60000287" w:usb1="00000001" w:usb2="00000000" w:usb3="00000000" w:csb0="0000019F" w:csb1="00000000"/>
  </w:font>
  <w:font w:name="Minion Pro">
    <w:altName w:val="Times New Roman"/>
    <w:charset w:val="00"/>
    <w:family w:val="roman"/>
    <w:pitch w:val="default"/>
    <w:sig w:usb0="00000000"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Avenir LT Std 85 Heavy">
    <w:altName w:val="Tw Cen MT Condensed Extra Bold"/>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947856758"/>
      <w:docPartObj>
        <w:docPartGallery w:val="Page Numbers (Bottom of Page)"/>
        <w:docPartUnique/>
      </w:docPartObj>
    </w:sdtPr>
    <w:sdtEndPr>
      <w:rPr>
        <w:rStyle w:val="Nmerodepgina"/>
        <w:rFonts w:ascii="Avenir LT Std 85 Heavy" w:hAnsi="Avenir LT Std 85 Heavy"/>
        <w:b/>
        <w:color w:val="FFFFFF" w:themeColor="background1"/>
      </w:rPr>
    </w:sdtEndPr>
    <w:sdtContent>
      <w:p w14:paraId="75DF53EB" w14:textId="77777777" w:rsidR="006E0EA2" w:rsidRPr="004B3699" w:rsidRDefault="006E0EA2" w:rsidP="00826DB0">
        <w:pPr>
          <w:pStyle w:val="Piedepgina"/>
          <w:framePr w:wrap="none" w:vAnchor="text" w:hAnchor="margin" w:xAlign="right" w:y="1"/>
          <w:ind w:right="360"/>
          <w:rPr>
            <w:rStyle w:val="Nmerodepgina"/>
            <w:rFonts w:ascii="Avenir LT Std 85 Heavy" w:hAnsi="Avenir LT Std 85 Heavy"/>
            <w:b/>
            <w:color w:val="FFFFFF" w:themeColor="background1"/>
          </w:rPr>
        </w:pPr>
        <w:r w:rsidRPr="004B3699">
          <w:rPr>
            <w:rStyle w:val="Nmerodepgina"/>
            <w:rFonts w:ascii="Avenir LT Std 85 Heavy" w:hAnsi="Avenir LT Std 85 Heavy"/>
            <w:b/>
            <w:color w:val="FFFFFF" w:themeColor="background1"/>
          </w:rPr>
          <w:fldChar w:fldCharType="begin"/>
        </w:r>
        <w:r w:rsidRPr="004B3699">
          <w:rPr>
            <w:rStyle w:val="Nmerodepgina"/>
            <w:rFonts w:ascii="Avenir LT Std 85 Heavy" w:hAnsi="Avenir LT Std 85 Heavy"/>
            <w:b/>
            <w:color w:val="FFFFFF" w:themeColor="background1"/>
          </w:rPr>
          <w:instrText xml:space="preserve"> PAGE </w:instrText>
        </w:r>
        <w:r w:rsidRPr="004B3699">
          <w:rPr>
            <w:rStyle w:val="Nmerodepgina"/>
            <w:rFonts w:ascii="Avenir LT Std 85 Heavy" w:hAnsi="Avenir LT Std 85 Heavy"/>
            <w:b/>
            <w:color w:val="FFFFFF" w:themeColor="background1"/>
          </w:rPr>
          <w:fldChar w:fldCharType="separate"/>
        </w:r>
        <w:r>
          <w:rPr>
            <w:rStyle w:val="Nmerodepgina"/>
            <w:rFonts w:ascii="Avenir LT Std 85 Heavy" w:hAnsi="Avenir LT Std 85 Heavy"/>
            <w:b/>
            <w:color w:val="FFFFFF" w:themeColor="background1"/>
          </w:rPr>
          <w:t>1</w:t>
        </w:r>
        <w:r w:rsidRPr="004B3699">
          <w:rPr>
            <w:rStyle w:val="Nmerodepgina"/>
            <w:rFonts w:ascii="Avenir LT Std 85 Heavy" w:hAnsi="Avenir LT Std 85 Heavy"/>
            <w:b/>
            <w:color w:val="FFFFFF" w:themeColor="background1"/>
          </w:rPr>
          <w:fldChar w:fldCharType="end"/>
        </w:r>
      </w:p>
    </w:sdtContent>
  </w:sdt>
  <w:sdt>
    <w:sdtPr>
      <w:rPr>
        <w:rStyle w:val="Nmerodepgina"/>
      </w:rPr>
      <w:id w:val="1241906810"/>
      <w:docPartObj>
        <w:docPartGallery w:val="Page Numbers (Bottom of Page)"/>
        <w:docPartUnique/>
      </w:docPartObj>
    </w:sdtPr>
    <w:sdtEndPr>
      <w:rPr>
        <w:rStyle w:val="Nmerodepgina"/>
        <w:rFonts w:ascii="Avenir LT Std 85 Heavy" w:hAnsi="Avenir LT Std 85 Heavy"/>
        <w:b/>
        <w:color w:val="FFFFFF" w:themeColor="background1"/>
      </w:rPr>
    </w:sdtEndPr>
    <w:sdtContent>
      <w:p w14:paraId="13A3646C" w14:textId="77777777" w:rsidR="006E0EA2" w:rsidRPr="004B3699" w:rsidRDefault="006E0EA2" w:rsidP="00826DB0">
        <w:pPr>
          <w:pStyle w:val="Piedepgina"/>
          <w:framePr w:w="321" w:wrap="notBeside" w:vAnchor="page" w:hAnchor="page" w:x="636" w:y="15856"/>
          <w:ind w:right="360"/>
          <w:rPr>
            <w:rStyle w:val="Nmerodepgina"/>
            <w:rFonts w:ascii="Avenir LT Std 85 Heavy" w:hAnsi="Avenir LT Std 85 Heavy"/>
            <w:b/>
            <w:color w:val="FFFFFF" w:themeColor="background1"/>
          </w:rPr>
        </w:pPr>
        <w:r w:rsidRPr="004B3699">
          <w:rPr>
            <w:rStyle w:val="Nmerodepgina"/>
            <w:rFonts w:ascii="Avenir LT Std 85 Heavy" w:hAnsi="Avenir LT Std 85 Heavy"/>
            <w:b/>
            <w:color w:val="FFFFFF" w:themeColor="background1"/>
          </w:rPr>
          <w:fldChar w:fldCharType="begin"/>
        </w:r>
        <w:r w:rsidRPr="004B3699">
          <w:rPr>
            <w:rStyle w:val="Nmerodepgina"/>
            <w:rFonts w:ascii="Avenir LT Std 85 Heavy" w:hAnsi="Avenir LT Std 85 Heavy"/>
            <w:b/>
            <w:color w:val="FFFFFF" w:themeColor="background1"/>
          </w:rPr>
          <w:instrText xml:space="preserve"> PAGE </w:instrText>
        </w:r>
        <w:r w:rsidRPr="004B3699">
          <w:rPr>
            <w:rStyle w:val="Nmerodepgina"/>
            <w:rFonts w:ascii="Avenir LT Std 85 Heavy" w:hAnsi="Avenir LT Std 85 Heavy"/>
            <w:b/>
            <w:color w:val="FFFFFF" w:themeColor="background1"/>
          </w:rPr>
          <w:fldChar w:fldCharType="separate"/>
        </w:r>
        <w:r>
          <w:rPr>
            <w:rStyle w:val="Nmerodepgina"/>
            <w:rFonts w:ascii="Avenir LT Std 85 Heavy" w:hAnsi="Avenir LT Std 85 Heavy"/>
            <w:b/>
            <w:color w:val="FFFFFF" w:themeColor="background1"/>
          </w:rPr>
          <w:t>1</w:t>
        </w:r>
        <w:r w:rsidRPr="004B3699">
          <w:rPr>
            <w:rStyle w:val="Nmerodepgina"/>
            <w:rFonts w:ascii="Avenir LT Std 85 Heavy" w:hAnsi="Avenir LT Std 85 Heavy"/>
            <w:b/>
            <w:color w:val="FFFFFF" w:themeColor="background1"/>
          </w:rPr>
          <w:fldChar w:fldCharType="end"/>
        </w:r>
      </w:p>
    </w:sdtContent>
  </w:sdt>
  <w:sdt>
    <w:sdtPr>
      <w:rPr>
        <w:rStyle w:val="Nmerodepgina"/>
      </w:rPr>
      <w:id w:val="-52614976"/>
      <w:docPartObj>
        <w:docPartGallery w:val="Page Numbers (Bottom of Page)"/>
        <w:docPartUnique/>
      </w:docPartObj>
    </w:sdtPr>
    <w:sdtEndPr>
      <w:rPr>
        <w:rStyle w:val="Nmerodepgina"/>
        <w:rFonts w:ascii="Avenir LT Std 85 Heavy" w:hAnsi="Avenir LT Std 85 Heavy"/>
        <w:b/>
        <w:color w:val="FFFFFF" w:themeColor="background1"/>
      </w:rPr>
    </w:sdtEndPr>
    <w:sdtContent>
      <w:p w14:paraId="7E50350F" w14:textId="77777777" w:rsidR="006E0EA2" w:rsidRPr="004B3699" w:rsidRDefault="006E0EA2" w:rsidP="005C0551">
        <w:pPr>
          <w:pStyle w:val="Piedepgina"/>
          <w:framePr w:w="328" w:wrap="notBeside" w:vAnchor="page" w:hAnchor="page" w:x="1580" w:y="16197"/>
          <w:rPr>
            <w:rStyle w:val="Nmerodepgina"/>
            <w:rFonts w:ascii="Avenir LT Std 85 Heavy" w:hAnsi="Avenir LT Std 85 Heavy"/>
            <w:b/>
            <w:color w:val="FFFFFF" w:themeColor="background1"/>
          </w:rPr>
        </w:pPr>
        <w:r w:rsidRPr="004B3699">
          <w:rPr>
            <w:rStyle w:val="Nmerodepgina"/>
            <w:rFonts w:ascii="Avenir LT Std 85 Heavy" w:hAnsi="Avenir LT Std 85 Heavy"/>
            <w:b/>
            <w:color w:val="FFFFFF" w:themeColor="background1"/>
          </w:rPr>
          <w:fldChar w:fldCharType="begin"/>
        </w:r>
        <w:r w:rsidRPr="004B3699">
          <w:rPr>
            <w:rStyle w:val="Nmerodepgina"/>
            <w:rFonts w:ascii="Avenir LT Std 85 Heavy" w:hAnsi="Avenir LT Std 85 Heavy"/>
            <w:b/>
            <w:color w:val="FFFFFF" w:themeColor="background1"/>
          </w:rPr>
          <w:instrText xml:space="preserve"> PAGE </w:instrText>
        </w:r>
        <w:r w:rsidRPr="004B3699">
          <w:rPr>
            <w:rStyle w:val="Nmerodepgina"/>
            <w:rFonts w:ascii="Avenir LT Std 85 Heavy" w:hAnsi="Avenir LT Std 85 Heavy"/>
            <w:b/>
            <w:color w:val="FFFFFF" w:themeColor="background1"/>
          </w:rPr>
          <w:fldChar w:fldCharType="separate"/>
        </w:r>
        <w:r>
          <w:rPr>
            <w:rStyle w:val="Nmerodepgina"/>
            <w:rFonts w:ascii="Avenir LT Std 85 Heavy" w:hAnsi="Avenir LT Std 85 Heavy"/>
            <w:b/>
            <w:color w:val="FFFFFF" w:themeColor="background1"/>
          </w:rPr>
          <w:t>2</w:t>
        </w:r>
        <w:r w:rsidRPr="004B3699">
          <w:rPr>
            <w:rStyle w:val="Nmerodepgina"/>
            <w:rFonts w:ascii="Avenir LT Std 85 Heavy" w:hAnsi="Avenir LT Std 85 Heavy"/>
            <w:b/>
            <w:color w:val="FFFFFF" w:themeColor="background1"/>
          </w:rPr>
          <w:fldChar w:fldCharType="end"/>
        </w:r>
      </w:p>
    </w:sdtContent>
  </w:sdt>
  <w:p w14:paraId="661078A2" w14:textId="77777777" w:rsidR="006E0EA2" w:rsidRDefault="00C269F2" w:rsidP="002F7BB6">
    <w:pPr>
      <w:pStyle w:val="Piedepgina"/>
    </w:pPr>
    <w:r>
      <w:rPr>
        <w:noProof/>
      </w:rPr>
      <w:drawing>
        <wp:anchor distT="0" distB="0" distL="114300" distR="114300" simplePos="0" relativeHeight="251658240" behindDoc="0" locked="0" layoutInCell="1" allowOverlap="1" wp14:anchorId="45858BDF" wp14:editId="48AC78A1">
          <wp:simplePos x="0" y="0"/>
          <wp:positionH relativeFrom="margin">
            <wp:posOffset>-570230</wp:posOffset>
          </wp:positionH>
          <wp:positionV relativeFrom="margin">
            <wp:posOffset>8764905</wp:posOffset>
          </wp:positionV>
          <wp:extent cx="2862580" cy="379095"/>
          <wp:effectExtent l="0" t="0" r="0" b="1905"/>
          <wp:wrapSquare wrapText="bothSides"/>
          <wp:docPr id="3" name="Imagen 3" descr="Logotipo del Observatorio Estatal de la Discapacid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 del Observatorio Estatal de la Discapacidad "/>
                  <pic:cNvPicPr/>
                </pic:nvPicPr>
                <pic:blipFill rotWithShape="1">
                  <a:blip r:embed="rId1">
                    <a:extLst>
                      <a:ext uri="{28A0092B-C50C-407E-A947-70E740481C1C}">
                        <a14:useLocalDpi xmlns:a14="http://schemas.microsoft.com/office/drawing/2010/main" val="0"/>
                      </a:ext>
                    </a:extLst>
                  </a:blip>
                  <a:srcRect l="5453" t="3" b="-2"/>
                  <a:stretch/>
                </pic:blipFill>
                <pic:spPr bwMode="auto">
                  <a:xfrm>
                    <a:off x="0" y="0"/>
                    <a:ext cx="2862580" cy="379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7EBB" w:rsidRPr="005F7EBB">
      <w:rPr>
        <w:noProof/>
      </w:rPr>
      <mc:AlternateContent>
        <mc:Choice Requires="wps">
          <w:drawing>
            <wp:anchor distT="0" distB="0" distL="114300" distR="114300" simplePos="0" relativeHeight="251657216" behindDoc="0" locked="0" layoutInCell="1" allowOverlap="1" wp14:anchorId="3C50CB13" wp14:editId="028B659B">
              <wp:simplePos x="0" y="0"/>
              <wp:positionH relativeFrom="column">
                <wp:posOffset>5244465</wp:posOffset>
              </wp:positionH>
              <wp:positionV relativeFrom="paragraph">
                <wp:posOffset>-591435</wp:posOffset>
              </wp:positionV>
              <wp:extent cx="272107" cy="287655"/>
              <wp:effectExtent l="0" t="0" r="7620" b="4445"/>
              <wp:wrapNone/>
              <wp:docPr id="85" name="Cuadro de texto 85"/>
              <wp:cNvGraphicFramePr/>
              <a:graphic xmlns:a="http://schemas.openxmlformats.org/drawingml/2006/main">
                <a:graphicData uri="http://schemas.microsoft.com/office/word/2010/wordprocessingShape">
                  <wps:wsp>
                    <wps:cNvSpPr txBox="1"/>
                    <wps:spPr>
                      <a:xfrm>
                        <a:off x="0" y="0"/>
                        <a:ext cx="272107" cy="287655"/>
                      </a:xfrm>
                      <a:prstGeom prst="rect">
                        <a:avLst/>
                      </a:prstGeom>
                      <a:noFill/>
                      <a:ln w="6350">
                        <a:noFill/>
                      </a:ln>
                    </wps:spPr>
                    <wps:txbx>
                      <w:txbxContent>
                        <w:p w14:paraId="01A052ED" w14:textId="77777777" w:rsidR="005F7EBB" w:rsidRPr="00465869" w:rsidRDefault="005F7EBB" w:rsidP="005F7EBB">
                          <w:pPr>
                            <w:pStyle w:val="Piedepgina"/>
                            <w:rPr>
                              <w:rFonts w:ascii="Arial" w:hAnsi="Arial" w:cs="Arial"/>
                              <w:caps/>
                              <w:color w:val="7F7F7F" w:themeColor="text1" w:themeTint="80"/>
                              <w:sz w:val="28"/>
                              <w:szCs w:val="28"/>
                            </w:rPr>
                          </w:pPr>
                          <w:r w:rsidRPr="00465869">
                            <w:rPr>
                              <w:rFonts w:ascii="Arial" w:hAnsi="Arial" w:cs="Arial"/>
                              <w:caps/>
                              <w:color w:val="7F7F7F" w:themeColor="text1" w:themeTint="80"/>
                              <w:sz w:val="28"/>
                              <w:szCs w:val="28"/>
                            </w:rPr>
                            <w:fldChar w:fldCharType="begin"/>
                          </w:r>
                          <w:r w:rsidRPr="00465869">
                            <w:rPr>
                              <w:rFonts w:ascii="Arial" w:hAnsi="Arial" w:cs="Arial"/>
                              <w:caps/>
                              <w:color w:val="7F7F7F" w:themeColor="text1" w:themeTint="80"/>
                              <w:sz w:val="28"/>
                              <w:szCs w:val="28"/>
                            </w:rPr>
                            <w:instrText>PAGE   \* MERGEFORMAT</w:instrText>
                          </w:r>
                          <w:r w:rsidRPr="00465869">
                            <w:rPr>
                              <w:rFonts w:ascii="Arial" w:hAnsi="Arial" w:cs="Arial"/>
                              <w:caps/>
                              <w:color w:val="7F7F7F" w:themeColor="text1" w:themeTint="80"/>
                              <w:sz w:val="28"/>
                              <w:szCs w:val="28"/>
                            </w:rPr>
                            <w:fldChar w:fldCharType="separate"/>
                          </w:r>
                          <w:r w:rsidRPr="00465869">
                            <w:rPr>
                              <w:rFonts w:ascii="Arial" w:hAnsi="Arial" w:cs="Arial"/>
                              <w:caps/>
                              <w:color w:val="7F7F7F" w:themeColor="text1" w:themeTint="80"/>
                              <w:sz w:val="28"/>
                              <w:szCs w:val="28"/>
                            </w:rPr>
                            <w:t>2</w:t>
                          </w:r>
                          <w:r w:rsidRPr="00465869">
                            <w:rPr>
                              <w:rFonts w:ascii="Arial" w:hAnsi="Arial" w:cs="Arial"/>
                              <w:caps/>
                              <w:color w:val="7F7F7F" w:themeColor="text1" w:themeTint="80"/>
                              <w:sz w:val="28"/>
                              <w:szCs w:val="28"/>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50CB13" id="_x0000_t202" coordsize="21600,21600" o:spt="202" path="m,l,21600r21600,l21600,xe">
              <v:stroke joinstyle="miter"/>
              <v:path gradientshapeok="t" o:connecttype="rect"/>
            </v:shapetype>
            <v:shape id="Cuadro de texto 85" o:spid="_x0000_s1029" type="#_x0000_t202" style="position:absolute;left:0;text-align:left;margin-left:412.95pt;margin-top:-46.55pt;width:21.45pt;height:2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" filled="f" stroked="f" strokeweight=".5pt">
              <v:textbox inset="0,0,0,0">
                <w:txbxContent>
                  <w:p w14:paraId="01A052ED" w14:textId="77777777" w:rsidR="005F7EBB" w:rsidRPr="00465869" w:rsidRDefault="005F7EBB" w:rsidP="005F7EBB">
                    <w:pPr>
                      <w:pStyle w:val="Piedepgina"/>
                      <w:rPr>
                        <w:rFonts w:ascii="Arial" w:hAnsi="Arial" w:cs="Arial"/>
                        <w:caps/>
                        <w:color w:val="7F7F7F" w:themeColor="text1" w:themeTint="80"/>
                        <w:sz w:val="28"/>
                        <w:szCs w:val="28"/>
                      </w:rPr>
                    </w:pPr>
                    <w:r w:rsidRPr="00465869">
                      <w:rPr>
                        <w:rFonts w:ascii="Arial" w:hAnsi="Arial" w:cs="Arial"/>
                        <w:caps/>
                        <w:color w:val="7F7F7F" w:themeColor="text1" w:themeTint="80"/>
                        <w:sz w:val="28"/>
                        <w:szCs w:val="28"/>
                      </w:rPr>
                      <w:fldChar w:fldCharType="begin"/>
                    </w:r>
                    <w:r w:rsidRPr="00465869">
                      <w:rPr>
                        <w:rFonts w:ascii="Arial" w:hAnsi="Arial" w:cs="Arial"/>
                        <w:caps/>
                        <w:color w:val="7F7F7F" w:themeColor="text1" w:themeTint="80"/>
                        <w:sz w:val="28"/>
                        <w:szCs w:val="28"/>
                      </w:rPr>
                      <w:instrText>PAGE   \* MERGEFORMAT</w:instrText>
                    </w:r>
                    <w:r w:rsidRPr="00465869">
                      <w:rPr>
                        <w:rFonts w:ascii="Arial" w:hAnsi="Arial" w:cs="Arial"/>
                        <w:caps/>
                        <w:color w:val="7F7F7F" w:themeColor="text1" w:themeTint="80"/>
                        <w:sz w:val="28"/>
                        <w:szCs w:val="28"/>
                      </w:rPr>
                      <w:fldChar w:fldCharType="separate"/>
                    </w:r>
                    <w:r w:rsidRPr="00465869">
                      <w:rPr>
                        <w:rFonts w:ascii="Arial" w:hAnsi="Arial" w:cs="Arial"/>
                        <w:caps/>
                        <w:color w:val="7F7F7F" w:themeColor="text1" w:themeTint="80"/>
                        <w:sz w:val="28"/>
                        <w:szCs w:val="28"/>
                      </w:rPr>
                      <w:t>2</w:t>
                    </w:r>
                    <w:r w:rsidRPr="00465869">
                      <w:rPr>
                        <w:rFonts w:ascii="Arial" w:hAnsi="Arial" w:cs="Arial"/>
                        <w:caps/>
                        <w:color w:val="7F7F7F" w:themeColor="text1" w:themeTint="80"/>
                        <w:sz w:val="28"/>
                        <w:szCs w:val="28"/>
                      </w:rPr>
                      <w:fldChar w:fldCharType="end"/>
                    </w:r>
                  </w:p>
                </w:txbxContent>
              </v:textbox>
            </v:shape>
          </w:pict>
        </mc:Fallback>
      </mc:AlternateContent>
    </w:r>
    <w:r w:rsidR="005F7EBB" w:rsidRPr="005F7EBB">
      <w:rPr>
        <w:noProof/>
      </w:rPr>
      <w:drawing>
        <wp:anchor distT="0" distB="0" distL="114300" distR="114300" simplePos="0" relativeHeight="251656192" behindDoc="0" locked="0" layoutInCell="1" allowOverlap="1" wp14:anchorId="38C5ACA6" wp14:editId="127D1EC6">
          <wp:simplePos x="0" y="0"/>
          <wp:positionH relativeFrom="margin">
            <wp:posOffset>-1359535</wp:posOffset>
          </wp:positionH>
          <wp:positionV relativeFrom="margin">
            <wp:posOffset>8534400</wp:posOffset>
          </wp:positionV>
          <wp:extent cx="8019737" cy="927735"/>
          <wp:effectExtent l="0" t="0" r="0" b="0"/>
          <wp:wrapSquare wrapText="bothSides"/>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RPD_hoja_pie.jpg"/>
                  <pic:cNvPicPr/>
                </pic:nvPicPr>
                <pic:blipFill>
                  <a:blip r:embed="rId2">
                    <a:extLst>
                      <a:ext uri="{28A0092B-C50C-407E-A947-70E740481C1C}">
                        <a14:useLocalDpi xmlns:a14="http://schemas.microsoft.com/office/drawing/2010/main" val="0"/>
                      </a:ext>
                    </a:extLst>
                  </a:blip>
                  <a:stretch>
                    <a:fillRect/>
                  </a:stretch>
                </pic:blipFill>
                <pic:spPr>
                  <a:xfrm>
                    <a:off x="0" y="0"/>
                    <a:ext cx="8024926" cy="928335"/>
                  </a:xfrm>
                  <a:prstGeom prst="rect">
                    <a:avLst/>
                  </a:prstGeom>
                </pic:spPr>
              </pic:pic>
            </a:graphicData>
          </a:graphic>
          <wp14:sizeRelH relativeFrom="margin">
            <wp14:pctWidth>0</wp14:pctWidth>
          </wp14:sizeRelH>
          <wp14:sizeRelV relativeFrom="margin">
            <wp14:pctHeight>0</wp14:pctHeight>
          </wp14:sizeRelV>
        </wp:anchor>
      </w:drawing>
    </w:r>
    <w:r w:rsidR="006E0EA2">
      <w:rPr>
        <w:noProof/>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207373901"/>
      <w:docPartObj>
        <w:docPartGallery w:val="Page Numbers (Bottom of Page)"/>
        <w:docPartUnique/>
      </w:docPartObj>
    </w:sdtPr>
    <w:sdtEndPr>
      <w:rPr>
        <w:rStyle w:val="Nmerodepgina"/>
        <w:rFonts w:ascii="Avenir LT Std 85 Heavy" w:hAnsi="Avenir LT Std 85 Heavy"/>
        <w:b/>
        <w:color w:val="FFFFFF" w:themeColor="background1"/>
      </w:rPr>
    </w:sdtEndPr>
    <w:sdtContent>
      <w:p w14:paraId="62B6838E" w14:textId="77777777" w:rsidR="00C65ACE" w:rsidRPr="004B3699" w:rsidRDefault="00C65ACE" w:rsidP="00826DB0">
        <w:pPr>
          <w:pStyle w:val="Piedepgina"/>
          <w:framePr w:wrap="none" w:vAnchor="text" w:hAnchor="margin" w:xAlign="right" w:y="1"/>
          <w:ind w:right="360"/>
          <w:rPr>
            <w:rStyle w:val="Nmerodepgina"/>
            <w:rFonts w:ascii="Avenir LT Std 85 Heavy" w:hAnsi="Avenir LT Std 85 Heavy"/>
            <w:b/>
            <w:color w:val="FFFFFF" w:themeColor="background1"/>
          </w:rPr>
        </w:pPr>
        <w:r w:rsidRPr="004B3699">
          <w:rPr>
            <w:rStyle w:val="Nmerodepgina"/>
            <w:rFonts w:ascii="Avenir LT Std 85 Heavy" w:hAnsi="Avenir LT Std 85 Heavy"/>
            <w:b/>
            <w:color w:val="FFFFFF" w:themeColor="background1"/>
          </w:rPr>
          <w:fldChar w:fldCharType="begin"/>
        </w:r>
        <w:r w:rsidRPr="004B3699">
          <w:rPr>
            <w:rStyle w:val="Nmerodepgina"/>
            <w:rFonts w:ascii="Avenir LT Std 85 Heavy" w:hAnsi="Avenir LT Std 85 Heavy"/>
            <w:b/>
            <w:color w:val="FFFFFF" w:themeColor="background1"/>
          </w:rPr>
          <w:instrText xml:space="preserve"> PAGE </w:instrText>
        </w:r>
        <w:r w:rsidRPr="004B3699">
          <w:rPr>
            <w:rStyle w:val="Nmerodepgina"/>
            <w:rFonts w:ascii="Avenir LT Std 85 Heavy" w:hAnsi="Avenir LT Std 85 Heavy"/>
            <w:b/>
            <w:color w:val="FFFFFF" w:themeColor="background1"/>
          </w:rPr>
          <w:fldChar w:fldCharType="separate"/>
        </w:r>
        <w:r>
          <w:rPr>
            <w:rStyle w:val="Nmerodepgina"/>
            <w:rFonts w:ascii="Avenir LT Std 85 Heavy" w:hAnsi="Avenir LT Std 85 Heavy"/>
            <w:b/>
            <w:color w:val="FFFFFF" w:themeColor="background1"/>
          </w:rPr>
          <w:t>1</w:t>
        </w:r>
        <w:r w:rsidRPr="004B3699">
          <w:rPr>
            <w:rStyle w:val="Nmerodepgina"/>
            <w:rFonts w:ascii="Avenir LT Std 85 Heavy" w:hAnsi="Avenir LT Std 85 Heavy"/>
            <w:b/>
            <w:color w:val="FFFFFF" w:themeColor="background1"/>
          </w:rPr>
          <w:fldChar w:fldCharType="end"/>
        </w:r>
      </w:p>
    </w:sdtContent>
  </w:sdt>
  <w:sdt>
    <w:sdtPr>
      <w:rPr>
        <w:rStyle w:val="Nmerodepgina"/>
      </w:rPr>
      <w:id w:val="-1340076305"/>
      <w:docPartObj>
        <w:docPartGallery w:val="Page Numbers (Bottom of Page)"/>
        <w:docPartUnique/>
      </w:docPartObj>
    </w:sdtPr>
    <w:sdtEndPr>
      <w:rPr>
        <w:rStyle w:val="Nmerodepgina"/>
        <w:rFonts w:ascii="Avenir LT Std 85 Heavy" w:hAnsi="Avenir LT Std 85 Heavy"/>
        <w:b/>
        <w:color w:val="FFFFFF" w:themeColor="background1"/>
      </w:rPr>
    </w:sdtEndPr>
    <w:sdtContent>
      <w:p w14:paraId="0EE1BCA0" w14:textId="77777777" w:rsidR="00C65ACE" w:rsidRPr="004B3699" w:rsidRDefault="00C65ACE" w:rsidP="00826DB0">
        <w:pPr>
          <w:pStyle w:val="Piedepgina"/>
          <w:framePr w:w="321" w:wrap="notBeside" w:vAnchor="page" w:hAnchor="page" w:x="636" w:y="15856"/>
          <w:ind w:right="360"/>
          <w:rPr>
            <w:rStyle w:val="Nmerodepgina"/>
            <w:rFonts w:ascii="Avenir LT Std 85 Heavy" w:hAnsi="Avenir LT Std 85 Heavy"/>
            <w:b/>
            <w:color w:val="FFFFFF" w:themeColor="background1"/>
          </w:rPr>
        </w:pPr>
        <w:r w:rsidRPr="004B3699">
          <w:rPr>
            <w:rStyle w:val="Nmerodepgina"/>
            <w:rFonts w:ascii="Avenir LT Std 85 Heavy" w:hAnsi="Avenir LT Std 85 Heavy"/>
            <w:b/>
            <w:color w:val="FFFFFF" w:themeColor="background1"/>
          </w:rPr>
          <w:fldChar w:fldCharType="begin"/>
        </w:r>
        <w:r w:rsidRPr="004B3699">
          <w:rPr>
            <w:rStyle w:val="Nmerodepgina"/>
            <w:rFonts w:ascii="Avenir LT Std 85 Heavy" w:hAnsi="Avenir LT Std 85 Heavy"/>
            <w:b/>
            <w:color w:val="FFFFFF" w:themeColor="background1"/>
          </w:rPr>
          <w:instrText xml:space="preserve"> PAGE </w:instrText>
        </w:r>
        <w:r w:rsidRPr="004B3699">
          <w:rPr>
            <w:rStyle w:val="Nmerodepgina"/>
            <w:rFonts w:ascii="Avenir LT Std 85 Heavy" w:hAnsi="Avenir LT Std 85 Heavy"/>
            <w:b/>
            <w:color w:val="FFFFFF" w:themeColor="background1"/>
          </w:rPr>
          <w:fldChar w:fldCharType="separate"/>
        </w:r>
        <w:r>
          <w:rPr>
            <w:rStyle w:val="Nmerodepgina"/>
            <w:rFonts w:ascii="Avenir LT Std 85 Heavy" w:hAnsi="Avenir LT Std 85 Heavy"/>
            <w:b/>
            <w:color w:val="FFFFFF" w:themeColor="background1"/>
          </w:rPr>
          <w:t>1</w:t>
        </w:r>
        <w:r w:rsidRPr="004B3699">
          <w:rPr>
            <w:rStyle w:val="Nmerodepgina"/>
            <w:rFonts w:ascii="Avenir LT Std 85 Heavy" w:hAnsi="Avenir LT Std 85 Heavy"/>
            <w:b/>
            <w:color w:val="FFFFFF" w:themeColor="background1"/>
          </w:rPr>
          <w:fldChar w:fldCharType="end"/>
        </w:r>
      </w:p>
    </w:sdtContent>
  </w:sdt>
  <w:sdt>
    <w:sdtPr>
      <w:rPr>
        <w:rStyle w:val="Nmerodepgina"/>
      </w:rPr>
      <w:id w:val="1045256092"/>
      <w:docPartObj>
        <w:docPartGallery w:val="Page Numbers (Bottom of Page)"/>
        <w:docPartUnique/>
      </w:docPartObj>
    </w:sdtPr>
    <w:sdtEndPr>
      <w:rPr>
        <w:rStyle w:val="Nmerodepgina"/>
        <w:rFonts w:ascii="Avenir LT Std 85 Heavy" w:hAnsi="Avenir LT Std 85 Heavy"/>
        <w:b/>
        <w:color w:val="FFFFFF" w:themeColor="background1"/>
      </w:rPr>
    </w:sdtEndPr>
    <w:sdtContent>
      <w:p w14:paraId="050DF808" w14:textId="77777777" w:rsidR="00C65ACE" w:rsidRPr="004B3699" w:rsidRDefault="00C65ACE" w:rsidP="005C0551">
        <w:pPr>
          <w:pStyle w:val="Piedepgina"/>
          <w:framePr w:w="328" w:wrap="notBeside" w:vAnchor="page" w:hAnchor="page" w:x="1580" w:y="16197"/>
          <w:rPr>
            <w:rStyle w:val="Nmerodepgina"/>
            <w:rFonts w:ascii="Avenir LT Std 85 Heavy" w:hAnsi="Avenir LT Std 85 Heavy"/>
            <w:b/>
            <w:color w:val="FFFFFF" w:themeColor="background1"/>
          </w:rPr>
        </w:pPr>
        <w:r w:rsidRPr="004B3699">
          <w:rPr>
            <w:rStyle w:val="Nmerodepgina"/>
            <w:rFonts w:ascii="Avenir LT Std 85 Heavy" w:hAnsi="Avenir LT Std 85 Heavy"/>
            <w:b/>
            <w:color w:val="FFFFFF" w:themeColor="background1"/>
          </w:rPr>
          <w:fldChar w:fldCharType="begin"/>
        </w:r>
        <w:r w:rsidRPr="004B3699">
          <w:rPr>
            <w:rStyle w:val="Nmerodepgina"/>
            <w:rFonts w:ascii="Avenir LT Std 85 Heavy" w:hAnsi="Avenir LT Std 85 Heavy"/>
            <w:b/>
            <w:color w:val="FFFFFF" w:themeColor="background1"/>
          </w:rPr>
          <w:instrText xml:space="preserve"> PAGE </w:instrText>
        </w:r>
        <w:r w:rsidRPr="004B3699">
          <w:rPr>
            <w:rStyle w:val="Nmerodepgina"/>
            <w:rFonts w:ascii="Avenir LT Std 85 Heavy" w:hAnsi="Avenir LT Std 85 Heavy"/>
            <w:b/>
            <w:color w:val="FFFFFF" w:themeColor="background1"/>
          </w:rPr>
          <w:fldChar w:fldCharType="separate"/>
        </w:r>
        <w:r>
          <w:rPr>
            <w:rStyle w:val="Nmerodepgina"/>
            <w:rFonts w:ascii="Avenir LT Std 85 Heavy" w:hAnsi="Avenir LT Std 85 Heavy"/>
            <w:b/>
            <w:color w:val="FFFFFF" w:themeColor="background1"/>
          </w:rPr>
          <w:t>2</w:t>
        </w:r>
        <w:r w:rsidRPr="004B3699">
          <w:rPr>
            <w:rStyle w:val="Nmerodepgina"/>
            <w:rFonts w:ascii="Avenir LT Std 85 Heavy" w:hAnsi="Avenir LT Std 85 Heavy"/>
            <w:b/>
            <w:color w:val="FFFFFF" w:themeColor="background1"/>
          </w:rPr>
          <w:fldChar w:fldCharType="end"/>
        </w:r>
      </w:p>
    </w:sdtContent>
  </w:sdt>
  <w:p w14:paraId="03F0FD56" w14:textId="77777777" w:rsidR="00C65ACE" w:rsidRDefault="00C65ACE" w:rsidP="002F7BB6">
    <w:pPr>
      <w:pStyle w:val="Piedepgina"/>
    </w:pP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062ED2" w14:textId="77777777" w:rsidR="009B6FD9" w:rsidRDefault="009B6FD9" w:rsidP="00863913">
      <w:pPr>
        <w:spacing w:after="0" w:line="240" w:lineRule="auto"/>
      </w:pPr>
      <w:r>
        <w:separator/>
      </w:r>
    </w:p>
  </w:footnote>
  <w:footnote w:type="continuationSeparator" w:id="0">
    <w:p w14:paraId="6F89BE48" w14:textId="77777777" w:rsidR="009B6FD9" w:rsidRDefault="009B6FD9" w:rsidP="008639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AE549" w14:textId="0203C223" w:rsidR="006E0EA2" w:rsidRPr="007D15D9" w:rsidRDefault="007A7784" w:rsidP="00C65ACE">
    <w:pPr>
      <w:tabs>
        <w:tab w:val="left" w:pos="3541"/>
        <w:tab w:val="center" w:pos="4535"/>
      </w:tabs>
      <w:snapToGrid w:val="0"/>
      <w:spacing w:before="800" w:after="0" w:line="240" w:lineRule="auto"/>
      <w:jc w:val="left"/>
      <w:rPr>
        <w:rFonts w:ascii="Avenir LT Std 85 Heavy" w:hAnsi="Avenir LT Std 85 Heavy" w:cs="Arial"/>
        <w:b/>
        <w:color w:val="DB921B"/>
        <w:sz w:val="32"/>
        <w:szCs w:val="32"/>
      </w:rPr>
    </w:pPr>
    <w:r w:rsidRPr="007A7784">
      <w:rPr>
        <w:rFonts w:ascii="Avenir LT Std 85 Heavy" w:hAnsi="Avenir LT Std 85 Heavy" w:cs="Arial"/>
        <w:b/>
        <w:noProof/>
        <w:color w:val="DB921B"/>
        <w:sz w:val="32"/>
        <w:szCs w:val="32"/>
      </w:rPr>
      <w:drawing>
        <wp:anchor distT="0" distB="0" distL="114300" distR="114300" simplePos="0" relativeHeight="251659264" behindDoc="0" locked="0" layoutInCell="1" allowOverlap="1" wp14:anchorId="61B6DE32" wp14:editId="653B6884">
          <wp:simplePos x="0" y="0"/>
          <wp:positionH relativeFrom="margin">
            <wp:posOffset>-902315</wp:posOffset>
          </wp:positionH>
          <wp:positionV relativeFrom="margin">
            <wp:posOffset>-1228599</wp:posOffset>
          </wp:positionV>
          <wp:extent cx="584200" cy="58420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84200" cy="584200"/>
                  </a:xfrm>
                  <a:prstGeom prst="rect">
                    <a:avLst/>
                  </a:prstGeom>
                </pic:spPr>
              </pic:pic>
            </a:graphicData>
          </a:graphic>
        </wp:anchor>
      </w:drawing>
    </w:r>
    <w:r w:rsidR="006E0EA2">
      <w:rPr>
        <w:rFonts w:ascii="Avenir LT Std 85 Heavy" w:hAnsi="Avenir LT Std 85 Heavy" w:cs="Arial"/>
        <w:b/>
        <w:color w:val="DB921B"/>
        <w:sz w:val="32"/>
        <w:szCs w:val="32"/>
      </w:rPr>
      <w:tab/>
    </w:r>
    <w:r w:rsidR="00C65ACE">
      <w:rPr>
        <w:rFonts w:ascii="Avenir LT Std 85 Heavy" w:hAnsi="Avenir LT Std 85 Heavy" w:cs="Arial"/>
        <w:b/>
        <w:color w:val="DB921B"/>
        <w:sz w:val="32"/>
        <w:szCs w:val="3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F98B1" w14:textId="77777777" w:rsidR="00C65ACE" w:rsidRPr="007D15D9" w:rsidRDefault="00C65ACE" w:rsidP="00C65ACE">
    <w:pPr>
      <w:tabs>
        <w:tab w:val="left" w:pos="3541"/>
        <w:tab w:val="center" w:pos="4535"/>
      </w:tabs>
      <w:snapToGrid w:val="0"/>
      <w:spacing w:before="800" w:after="0" w:line="240" w:lineRule="auto"/>
      <w:jc w:val="left"/>
      <w:rPr>
        <w:rFonts w:ascii="Avenir LT Std 85 Heavy" w:hAnsi="Avenir LT Std 85 Heavy" w:cs="Arial"/>
        <w:b/>
        <w:color w:val="DB921B"/>
        <w:sz w:val="32"/>
        <w:szCs w:val="32"/>
      </w:rPr>
    </w:pPr>
    <w:r>
      <w:rPr>
        <w:rFonts w:ascii="Avenir LT Std 85 Heavy" w:hAnsi="Avenir LT Std 85 Heavy" w:cs="Arial"/>
        <w:b/>
        <w:color w:val="DB921B"/>
        <w:sz w:val="32"/>
        <w:szCs w:val="32"/>
      </w:rPr>
      <w:tab/>
    </w:r>
    <w:r>
      <w:rPr>
        <w:rFonts w:ascii="Avenir LT Std 85 Heavy" w:hAnsi="Avenir LT Std 85 Heavy" w:cs="Arial"/>
        <w:b/>
        <w:color w:val="DB921B"/>
        <w:sz w:val="32"/>
        <w:szCs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27EEE"/>
    <w:multiLevelType w:val="hybridMultilevel"/>
    <w:tmpl w:val="A6524978"/>
    <w:lvl w:ilvl="0" w:tplc="6AA46BF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DF47BF8"/>
    <w:multiLevelType w:val="hybridMultilevel"/>
    <w:tmpl w:val="1CC8684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20F7A1C"/>
    <w:multiLevelType w:val="hybridMultilevel"/>
    <w:tmpl w:val="B88685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33A547A"/>
    <w:multiLevelType w:val="hybridMultilevel"/>
    <w:tmpl w:val="056C83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80A7157"/>
    <w:multiLevelType w:val="hybridMultilevel"/>
    <w:tmpl w:val="0D003D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AD50444"/>
    <w:multiLevelType w:val="hybridMultilevel"/>
    <w:tmpl w:val="9A705002"/>
    <w:lvl w:ilvl="0" w:tplc="C6CE5AF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4551910"/>
    <w:multiLevelType w:val="hybridMultilevel"/>
    <w:tmpl w:val="645CAEBA"/>
    <w:lvl w:ilvl="0" w:tplc="47C6CE5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9B54EA5"/>
    <w:multiLevelType w:val="hybridMultilevel"/>
    <w:tmpl w:val="C64E1B80"/>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 w15:restartNumberingAfterBreak="0">
    <w:nsid w:val="2B231246"/>
    <w:multiLevelType w:val="hybridMultilevel"/>
    <w:tmpl w:val="908E008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25A5F4C"/>
    <w:multiLevelType w:val="hybridMultilevel"/>
    <w:tmpl w:val="72FEF8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A9C3AF3"/>
    <w:multiLevelType w:val="hybridMultilevel"/>
    <w:tmpl w:val="6F7A2D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B28241D"/>
    <w:multiLevelType w:val="hybridMultilevel"/>
    <w:tmpl w:val="4F56FAB4"/>
    <w:lvl w:ilvl="0" w:tplc="4FCC9646">
      <w:start w:val="1"/>
      <w:numFmt w:val="decimal"/>
      <w:lvlText w:val="%1."/>
      <w:lvlJc w:val="left"/>
      <w:pPr>
        <w:ind w:left="786"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F5A2B77"/>
    <w:multiLevelType w:val="multilevel"/>
    <w:tmpl w:val="6BFAB73C"/>
    <w:lvl w:ilvl="0">
      <w:start w:val="1"/>
      <w:numFmt w:val="decimal"/>
      <w:lvlText w:val="%1."/>
      <w:lvlJc w:val="left"/>
      <w:pPr>
        <w:ind w:left="360" w:hanging="360"/>
      </w:pPr>
      <w:rPr>
        <w:rFonts w:hint="default"/>
      </w:rPr>
    </w:lvl>
    <w:lvl w:ilvl="1">
      <w:start w:val="2"/>
      <w:numFmt w:val="decimal"/>
      <w:isLgl/>
      <w:lvlText w:val="%1.%2"/>
      <w:lvlJc w:val="left"/>
      <w:pPr>
        <w:ind w:left="530" w:hanging="530"/>
      </w:pPr>
      <w:rPr>
        <w:rFonts w:hint="default"/>
      </w:rPr>
    </w:lvl>
    <w:lvl w:ilvl="2">
      <w:start w:val="6"/>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456B5682"/>
    <w:multiLevelType w:val="hybridMultilevel"/>
    <w:tmpl w:val="052A55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77F0717"/>
    <w:multiLevelType w:val="hybridMultilevel"/>
    <w:tmpl w:val="43986E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9EB77DB"/>
    <w:multiLevelType w:val="hybridMultilevel"/>
    <w:tmpl w:val="E2DCCC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EAF4AE3"/>
    <w:multiLevelType w:val="hybridMultilevel"/>
    <w:tmpl w:val="4F68E0A4"/>
    <w:lvl w:ilvl="0" w:tplc="4E64BCB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DAD7A97"/>
    <w:multiLevelType w:val="hybridMultilevel"/>
    <w:tmpl w:val="7D80F3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DA23EC3"/>
    <w:multiLevelType w:val="hybridMultilevel"/>
    <w:tmpl w:val="E102B158"/>
    <w:lvl w:ilvl="0" w:tplc="728AA68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DE400F7"/>
    <w:multiLevelType w:val="hybridMultilevel"/>
    <w:tmpl w:val="473C4A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E852732"/>
    <w:multiLevelType w:val="hybridMultilevel"/>
    <w:tmpl w:val="BEDEE1D4"/>
    <w:lvl w:ilvl="0" w:tplc="0C0A0001">
      <w:start w:val="1"/>
      <w:numFmt w:val="bullet"/>
      <w:lvlText w:val=""/>
      <w:lvlJc w:val="left"/>
      <w:pPr>
        <w:ind w:left="1422" w:hanging="360"/>
      </w:pPr>
      <w:rPr>
        <w:rFonts w:ascii="Symbol" w:hAnsi="Symbol" w:hint="default"/>
      </w:rPr>
    </w:lvl>
    <w:lvl w:ilvl="1" w:tplc="0C0A0003" w:tentative="1">
      <w:start w:val="1"/>
      <w:numFmt w:val="bullet"/>
      <w:lvlText w:val="o"/>
      <w:lvlJc w:val="left"/>
      <w:pPr>
        <w:ind w:left="2142" w:hanging="360"/>
      </w:pPr>
      <w:rPr>
        <w:rFonts w:ascii="Courier New" w:hAnsi="Courier New" w:cs="Courier New" w:hint="default"/>
      </w:rPr>
    </w:lvl>
    <w:lvl w:ilvl="2" w:tplc="0C0A0005" w:tentative="1">
      <w:start w:val="1"/>
      <w:numFmt w:val="bullet"/>
      <w:lvlText w:val=""/>
      <w:lvlJc w:val="left"/>
      <w:pPr>
        <w:ind w:left="2862" w:hanging="360"/>
      </w:pPr>
      <w:rPr>
        <w:rFonts w:ascii="Wingdings" w:hAnsi="Wingdings" w:hint="default"/>
      </w:rPr>
    </w:lvl>
    <w:lvl w:ilvl="3" w:tplc="0C0A0001" w:tentative="1">
      <w:start w:val="1"/>
      <w:numFmt w:val="bullet"/>
      <w:lvlText w:val=""/>
      <w:lvlJc w:val="left"/>
      <w:pPr>
        <w:ind w:left="3582" w:hanging="360"/>
      </w:pPr>
      <w:rPr>
        <w:rFonts w:ascii="Symbol" w:hAnsi="Symbol" w:hint="default"/>
      </w:rPr>
    </w:lvl>
    <w:lvl w:ilvl="4" w:tplc="0C0A0003" w:tentative="1">
      <w:start w:val="1"/>
      <w:numFmt w:val="bullet"/>
      <w:lvlText w:val="o"/>
      <w:lvlJc w:val="left"/>
      <w:pPr>
        <w:ind w:left="4302" w:hanging="360"/>
      </w:pPr>
      <w:rPr>
        <w:rFonts w:ascii="Courier New" w:hAnsi="Courier New" w:cs="Courier New" w:hint="default"/>
      </w:rPr>
    </w:lvl>
    <w:lvl w:ilvl="5" w:tplc="0C0A0005" w:tentative="1">
      <w:start w:val="1"/>
      <w:numFmt w:val="bullet"/>
      <w:lvlText w:val=""/>
      <w:lvlJc w:val="left"/>
      <w:pPr>
        <w:ind w:left="5022" w:hanging="360"/>
      </w:pPr>
      <w:rPr>
        <w:rFonts w:ascii="Wingdings" w:hAnsi="Wingdings" w:hint="default"/>
      </w:rPr>
    </w:lvl>
    <w:lvl w:ilvl="6" w:tplc="0C0A0001" w:tentative="1">
      <w:start w:val="1"/>
      <w:numFmt w:val="bullet"/>
      <w:lvlText w:val=""/>
      <w:lvlJc w:val="left"/>
      <w:pPr>
        <w:ind w:left="5742" w:hanging="360"/>
      </w:pPr>
      <w:rPr>
        <w:rFonts w:ascii="Symbol" w:hAnsi="Symbol" w:hint="default"/>
      </w:rPr>
    </w:lvl>
    <w:lvl w:ilvl="7" w:tplc="0C0A0003" w:tentative="1">
      <w:start w:val="1"/>
      <w:numFmt w:val="bullet"/>
      <w:lvlText w:val="o"/>
      <w:lvlJc w:val="left"/>
      <w:pPr>
        <w:ind w:left="6462" w:hanging="360"/>
      </w:pPr>
      <w:rPr>
        <w:rFonts w:ascii="Courier New" w:hAnsi="Courier New" w:cs="Courier New" w:hint="default"/>
      </w:rPr>
    </w:lvl>
    <w:lvl w:ilvl="8" w:tplc="0C0A0005" w:tentative="1">
      <w:start w:val="1"/>
      <w:numFmt w:val="bullet"/>
      <w:lvlText w:val=""/>
      <w:lvlJc w:val="left"/>
      <w:pPr>
        <w:ind w:left="7182" w:hanging="360"/>
      </w:pPr>
      <w:rPr>
        <w:rFonts w:ascii="Wingdings" w:hAnsi="Wingdings" w:hint="default"/>
      </w:rPr>
    </w:lvl>
  </w:abstractNum>
  <w:abstractNum w:abstractNumId="21" w15:restartNumberingAfterBreak="0">
    <w:nsid w:val="6FBA069B"/>
    <w:multiLevelType w:val="hybridMultilevel"/>
    <w:tmpl w:val="384C08F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15:restartNumberingAfterBreak="0">
    <w:nsid w:val="790166D7"/>
    <w:multiLevelType w:val="multilevel"/>
    <w:tmpl w:val="8C8C4E38"/>
    <w:lvl w:ilvl="0">
      <w:start w:val="1"/>
      <w:numFmt w:val="decimal"/>
      <w:lvlText w:val="%1."/>
      <w:lvlJc w:val="left"/>
      <w:pPr>
        <w:ind w:left="720" w:hanging="360"/>
      </w:pPr>
    </w:lvl>
    <w:lvl w:ilvl="1">
      <w:start w:val="2"/>
      <w:numFmt w:val="decimal"/>
      <w:isLgl/>
      <w:lvlText w:val="%1.%2"/>
      <w:lvlJc w:val="left"/>
      <w:pPr>
        <w:ind w:left="960" w:hanging="60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DA62AB9"/>
    <w:multiLevelType w:val="hybridMultilevel"/>
    <w:tmpl w:val="7F94C6E6"/>
    <w:lvl w:ilvl="0" w:tplc="280E01D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738821618">
    <w:abstractNumId w:val="1"/>
  </w:num>
  <w:num w:numId="2" w16cid:durableId="1827549160">
    <w:abstractNumId w:val="18"/>
  </w:num>
  <w:num w:numId="3" w16cid:durableId="813788897">
    <w:abstractNumId w:val="6"/>
  </w:num>
  <w:num w:numId="4" w16cid:durableId="2096247421">
    <w:abstractNumId w:val="5"/>
  </w:num>
  <w:num w:numId="5" w16cid:durableId="1314263153">
    <w:abstractNumId w:val="11"/>
  </w:num>
  <w:num w:numId="6" w16cid:durableId="618337777">
    <w:abstractNumId w:val="0"/>
  </w:num>
  <w:num w:numId="7" w16cid:durableId="1643970718">
    <w:abstractNumId w:val="23"/>
  </w:num>
  <w:num w:numId="8" w16cid:durableId="1247761099">
    <w:abstractNumId w:val="4"/>
  </w:num>
  <w:num w:numId="9" w16cid:durableId="844516734">
    <w:abstractNumId w:val="21"/>
  </w:num>
  <w:num w:numId="10" w16cid:durableId="701902181">
    <w:abstractNumId w:val="22"/>
  </w:num>
  <w:num w:numId="11" w16cid:durableId="1760132509">
    <w:abstractNumId w:val="16"/>
  </w:num>
  <w:num w:numId="12" w16cid:durableId="1073427474">
    <w:abstractNumId w:val="8"/>
  </w:num>
  <w:num w:numId="13" w16cid:durableId="1250500934">
    <w:abstractNumId w:val="3"/>
  </w:num>
  <w:num w:numId="14" w16cid:durableId="932935318">
    <w:abstractNumId w:val="12"/>
  </w:num>
  <w:num w:numId="15" w16cid:durableId="805397639">
    <w:abstractNumId w:val="14"/>
  </w:num>
  <w:num w:numId="16" w16cid:durableId="660811793">
    <w:abstractNumId w:val="13"/>
  </w:num>
  <w:num w:numId="17" w16cid:durableId="926689183">
    <w:abstractNumId w:val="9"/>
  </w:num>
  <w:num w:numId="18" w16cid:durableId="5523763">
    <w:abstractNumId w:val="17"/>
  </w:num>
  <w:num w:numId="19" w16cid:durableId="1836529379">
    <w:abstractNumId w:val="20"/>
  </w:num>
  <w:num w:numId="20" w16cid:durableId="171377646">
    <w:abstractNumId w:val="19"/>
  </w:num>
  <w:num w:numId="21" w16cid:durableId="1149979360">
    <w:abstractNumId w:val="10"/>
  </w:num>
  <w:num w:numId="22" w16cid:durableId="1690646459">
    <w:abstractNumId w:val="15"/>
  </w:num>
  <w:num w:numId="23" w16cid:durableId="174854388">
    <w:abstractNumId w:val="2"/>
  </w:num>
  <w:num w:numId="24" w16cid:durableId="823356447">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913"/>
    <w:rsid w:val="000116CF"/>
    <w:rsid w:val="000729E3"/>
    <w:rsid w:val="000763B2"/>
    <w:rsid w:val="0009359D"/>
    <w:rsid w:val="000A76F4"/>
    <w:rsid w:val="001166BA"/>
    <w:rsid w:val="00133AE7"/>
    <w:rsid w:val="00146E88"/>
    <w:rsid w:val="00176995"/>
    <w:rsid w:val="001925D5"/>
    <w:rsid w:val="001940BE"/>
    <w:rsid w:val="001B2516"/>
    <w:rsid w:val="001C68B0"/>
    <w:rsid w:val="001D7D52"/>
    <w:rsid w:val="001F02C5"/>
    <w:rsid w:val="001F11DD"/>
    <w:rsid w:val="001F626C"/>
    <w:rsid w:val="001F75A8"/>
    <w:rsid w:val="00214346"/>
    <w:rsid w:val="00236190"/>
    <w:rsid w:val="00243AC1"/>
    <w:rsid w:val="00256208"/>
    <w:rsid w:val="002603BA"/>
    <w:rsid w:val="00271486"/>
    <w:rsid w:val="00272198"/>
    <w:rsid w:val="002932E4"/>
    <w:rsid w:val="002B70E3"/>
    <w:rsid w:val="002F7665"/>
    <w:rsid w:val="002F7BB6"/>
    <w:rsid w:val="003036D5"/>
    <w:rsid w:val="00305E91"/>
    <w:rsid w:val="00321359"/>
    <w:rsid w:val="00321C65"/>
    <w:rsid w:val="00341B91"/>
    <w:rsid w:val="00347A19"/>
    <w:rsid w:val="003728DB"/>
    <w:rsid w:val="003801BE"/>
    <w:rsid w:val="003826E9"/>
    <w:rsid w:val="003A664C"/>
    <w:rsid w:val="003A6A90"/>
    <w:rsid w:val="003B5A00"/>
    <w:rsid w:val="0040042D"/>
    <w:rsid w:val="00401E39"/>
    <w:rsid w:val="0042567B"/>
    <w:rsid w:val="00431314"/>
    <w:rsid w:val="00434464"/>
    <w:rsid w:val="00440072"/>
    <w:rsid w:val="00444685"/>
    <w:rsid w:val="00444F53"/>
    <w:rsid w:val="00453225"/>
    <w:rsid w:val="00455D41"/>
    <w:rsid w:val="00465869"/>
    <w:rsid w:val="004775BF"/>
    <w:rsid w:val="00494E07"/>
    <w:rsid w:val="004B3699"/>
    <w:rsid w:val="004D4426"/>
    <w:rsid w:val="005143C8"/>
    <w:rsid w:val="0052117B"/>
    <w:rsid w:val="0052782B"/>
    <w:rsid w:val="00527C40"/>
    <w:rsid w:val="00532C47"/>
    <w:rsid w:val="005346B9"/>
    <w:rsid w:val="00535755"/>
    <w:rsid w:val="00537CED"/>
    <w:rsid w:val="005629C6"/>
    <w:rsid w:val="00572050"/>
    <w:rsid w:val="00596ABF"/>
    <w:rsid w:val="00596C4E"/>
    <w:rsid w:val="005B5BEF"/>
    <w:rsid w:val="005B5FDC"/>
    <w:rsid w:val="005B6A61"/>
    <w:rsid w:val="005C0551"/>
    <w:rsid w:val="005D1D64"/>
    <w:rsid w:val="005D4AFC"/>
    <w:rsid w:val="005F1E2E"/>
    <w:rsid w:val="005F751F"/>
    <w:rsid w:val="005F7EBB"/>
    <w:rsid w:val="006236E3"/>
    <w:rsid w:val="00627505"/>
    <w:rsid w:val="006454CC"/>
    <w:rsid w:val="006462B5"/>
    <w:rsid w:val="006503DE"/>
    <w:rsid w:val="00662842"/>
    <w:rsid w:val="00663BFF"/>
    <w:rsid w:val="00676DDD"/>
    <w:rsid w:val="006E0EA2"/>
    <w:rsid w:val="007113BC"/>
    <w:rsid w:val="0072678E"/>
    <w:rsid w:val="00750627"/>
    <w:rsid w:val="0076554E"/>
    <w:rsid w:val="007A7784"/>
    <w:rsid w:val="007C436A"/>
    <w:rsid w:val="007D15D9"/>
    <w:rsid w:val="007D7107"/>
    <w:rsid w:val="007F40EE"/>
    <w:rsid w:val="0080147E"/>
    <w:rsid w:val="00805F4C"/>
    <w:rsid w:val="0080772C"/>
    <w:rsid w:val="00820221"/>
    <w:rsid w:val="008205B0"/>
    <w:rsid w:val="00825A37"/>
    <w:rsid w:val="00826DB0"/>
    <w:rsid w:val="00863913"/>
    <w:rsid w:val="008761CE"/>
    <w:rsid w:val="008B4081"/>
    <w:rsid w:val="008B5A36"/>
    <w:rsid w:val="008D1796"/>
    <w:rsid w:val="00903110"/>
    <w:rsid w:val="00913B62"/>
    <w:rsid w:val="00920F0D"/>
    <w:rsid w:val="009321A8"/>
    <w:rsid w:val="00937B27"/>
    <w:rsid w:val="00944F0D"/>
    <w:rsid w:val="00947EF8"/>
    <w:rsid w:val="00965D7E"/>
    <w:rsid w:val="00971F88"/>
    <w:rsid w:val="00975FB8"/>
    <w:rsid w:val="00986350"/>
    <w:rsid w:val="00991BE2"/>
    <w:rsid w:val="009A0C83"/>
    <w:rsid w:val="009A23A3"/>
    <w:rsid w:val="009B5FCA"/>
    <w:rsid w:val="009B6FD9"/>
    <w:rsid w:val="009D7D0E"/>
    <w:rsid w:val="009E0917"/>
    <w:rsid w:val="009E1AE4"/>
    <w:rsid w:val="009E2496"/>
    <w:rsid w:val="009E4F20"/>
    <w:rsid w:val="00A040D8"/>
    <w:rsid w:val="00A12A9E"/>
    <w:rsid w:val="00A1671C"/>
    <w:rsid w:val="00A22FDE"/>
    <w:rsid w:val="00A27C4B"/>
    <w:rsid w:val="00A300D9"/>
    <w:rsid w:val="00A3562B"/>
    <w:rsid w:val="00A368EC"/>
    <w:rsid w:val="00A44672"/>
    <w:rsid w:val="00A47BE9"/>
    <w:rsid w:val="00A62D70"/>
    <w:rsid w:val="00A73C71"/>
    <w:rsid w:val="00AA7E7A"/>
    <w:rsid w:val="00AB2626"/>
    <w:rsid w:val="00AC3AA9"/>
    <w:rsid w:val="00AD0119"/>
    <w:rsid w:val="00AD613C"/>
    <w:rsid w:val="00AE0F7B"/>
    <w:rsid w:val="00AF3C43"/>
    <w:rsid w:val="00B0677D"/>
    <w:rsid w:val="00B074A3"/>
    <w:rsid w:val="00B12C30"/>
    <w:rsid w:val="00B23D99"/>
    <w:rsid w:val="00B37F8A"/>
    <w:rsid w:val="00B85E2C"/>
    <w:rsid w:val="00B86AF3"/>
    <w:rsid w:val="00BA189A"/>
    <w:rsid w:val="00BA430C"/>
    <w:rsid w:val="00BB530E"/>
    <w:rsid w:val="00BB7FE6"/>
    <w:rsid w:val="00BC694C"/>
    <w:rsid w:val="00BF484A"/>
    <w:rsid w:val="00BF5A12"/>
    <w:rsid w:val="00BF6C52"/>
    <w:rsid w:val="00C062C4"/>
    <w:rsid w:val="00C114CC"/>
    <w:rsid w:val="00C16E18"/>
    <w:rsid w:val="00C21F60"/>
    <w:rsid w:val="00C269F2"/>
    <w:rsid w:val="00C44204"/>
    <w:rsid w:val="00C4703C"/>
    <w:rsid w:val="00C5488F"/>
    <w:rsid w:val="00C648CA"/>
    <w:rsid w:val="00C65ACE"/>
    <w:rsid w:val="00C67306"/>
    <w:rsid w:val="00C840A9"/>
    <w:rsid w:val="00C921B2"/>
    <w:rsid w:val="00CA043E"/>
    <w:rsid w:val="00CA656B"/>
    <w:rsid w:val="00CC0750"/>
    <w:rsid w:val="00CC20DC"/>
    <w:rsid w:val="00CD4AED"/>
    <w:rsid w:val="00CD5409"/>
    <w:rsid w:val="00CE7177"/>
    <w:rsid w:val="00D04F29"/>
    <w:rsid w:val="00D34BCF"/>
    <w:rsid w:val="00D418EC"/>
    <w:rsid w:val="00D44187"/>
    <w:rsid w:val="00D46F2E"/>
    <w:rsid w:val="00D53FFA"/>
    <w:rsid w:val="00D5651A"/>
    <w:rsid w:val="00D57ED3"/>
    <w:rsid w:val="00D67590"/>
    <w:rsid w:val="00D676CA"/>
    <w:rsid w:val="00D727A1"/>
    <w:rsid w:val="00D823DF"/>
    <w:rsid w:val="00D8241F"/>
    <w:rsid w:val="00D90F41"/>
    <w:rsid w:val="00D9415A"/>
    <w:rsid w:val="00DA6C69"/>
    <w:rsid w:val="00DB6432"/>
    <w:rsid w:val="00DC6190"/>
    <w:rsid w:val="00E02DFA"/>
    <w:rsid w:val="00E11FA7"/>
    <w:rsid w:val="00E346EA"/>
    <w:rsid w:val="00E352DB"/>
    <w:rsid w:val="00E6581B"/>
    <w:rsid w:val="00E66597"/>
    <w:rsid w:val="00E7542B"/>
    <w:rsid w:val="00E87E27"/>
    <w:rsid w:val="00EA08D1"/>
    <w:rsid w:val="00EA1FF9"/>
    <w:rsid w:val="00EA7F81"/>
    <w:rsid w:val="00EB3AE6"/>
    <w:rsid w:val="00EB4F13"/>
    <w:rsid w:val="00ED0557"/>
    <w:rsid w:val="00ED093B"/>
    <w:rsid w:val="00ED25D3"/>
    <w:rsid w:val="00EE797F"/>
    <w:rsid w:val="00EF64C0"/>
    <w:rsid w:val="00F00E5C"/>
    <w:rsid w:val="00F219C1"/>
    <w:rsid w:val="00F23CF3"/>
    <w:rsid w:val="00F23E1A"/>
    <w:rsid w:val="00F24479"/>
    <w:rsid w:val="00F3147E"/>
    <w:rsid w:val="00F37DCB"/>
    <w:rsid w:val="00F53A4F"/>
    <w:rsid w:val="00F53E9A"/>
    <w:rsid w:val="00F66B93"/>
    <w:rsid w:val="00F70815"/>
    <w:rsid w:val="00F70FA0"/>
    <w:rsid w:val="00F94099"/>
    <w:rsid w:val="00FA5F09"/>
    <w:rsid w:val="00FC0CBD"/>
    <w:rsid w:val="00FD3E31"/>
    <w:rsid w:val="00FE0178"/>
    <w:rsid w:val="00FE759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7926A3"/>
  <w15:chartTrackingRefBased/>
  <w15:docId w15:val="{E3CEBEDF-4506-DD4F-98CC-C96C64FFD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913"/>
    <w:pPr>
      <w:spacing w:after="60" w:line="259" w:lineRule="auto"/>
      <w:jc w:val="center"/>
    </w:pPr>
    <w:rPr>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63913"/>
    <w:pPr>
      <w:tabs>
        <w:tab w:val="center" w:pos="4419"/>
        <w:tab w:val="right" w:pos="8838"/>
      </w:tabs>
    </w:pPr>
  </w:style>
  <w:style w:type="character" w:customStyle="1" w:styleId="EncabezadoCar">
    <w:name w:val="Encabezado Car"/>
    <w:basedOn w:val="Fuentedeprrafopredeter"/>
    <w:link w:val="Encabezado"/>
    <w:uiPriority w:val="99"/>
    <w:rsid w:val="00863913"/>
  </w:style>
  <w:style w:type="paragraph" w:styleId="Piedepgina">
    <w:name w:val="footer"/>
    <w:basedOn w:val="Normal"/>
    <w:link w:val="PiedepginaCar"/>
    <w:uiPriority w:val="99"/>
    <w:unhideWhenUsed/>
    <w:rsid w:val="00863913"/>
    <w:pPr>
      <w:tabs>
        <w:tab w:val="center" w:pos="4419"/>
        <w:tab w:val="right" w:pos="8838"/>
      </w:tabs>
    </w:pPr>
  </w:style>
  <w:style w:type="character" w:customStyle="1" w:styleId="PiedepginaCar">
    <w:name w:val="Pie de página Car"/>
    <w:basedOn w:val="Fuentedeprrafopredeter"/>
    <w:link w:val="Piedepgina"/>
    <w:uiPriority w:val="99"/>
    <w:rsid w:val="00863913"/>
  </w:style>
  <w:style w:type="paragraph" w:customStyle="1" w:styleId="Prrafobsico">
    <w:name w:val="[Párrafo básico]"/>
    <w:basedOn w:val="Normal"/>
    <w:uiPriority w:val="99"/>
    <w:rsid w:val="00863913"/>
    <w:pPr>
      <w:autoSpaceDE w:val="0"/>
      <w:autoSpaceDN w:val="0"/>
      <w:adjustRightInd w:val="0"/>
      <w:spacing w:after="0" w:line="288" w:lineRule="auto"/>
      <w:jc w:val="left"/>
      <w:textAlignment w:val="center"/>
    </w:pPr>
    <w:rPr>
      <w:rFonts w:ascii="MinionPro-Regular" w:hAnsi="MinionPro-Regular" w:cs="MinionPro-Regular"/>
      <w:color w:val="000000"/>
      <w:sz w:val="24"/>
      <w:szCs w:val="24"/>
      <w:lang w:val="es-ES_tradnl"/>
    </w:rPr>
  </w:style>
  <w:style w:type="paragraph" w:styleId="NormalWeb">
    <w:name w:val="Normal (Web)"/>
    <w:basedOn w:val="Normal"/>
    <w:uiPriority w:val="99"/>
    <w:semiHidden/>
    <w:unhideWhenUsed/>
    <w:rsid w:val="00EB3AE6"/>
    <w:pPr>
      <w:spacing w:before="100" w:beforeAutospacing="1" w:after="100" w:afterAutospacing="1" w:line="240" w:lineRule="auto"/>
      <w:jc w:val="left"/>
    </w:pPr>
    <w:rPr>
      <w:rFonts w:ascii="Times New Roman" w:eastAsiaTheme="minorEastAsia" w:hAnsi="Times New Roman" w:cs="Times New Roman"/>
      <w:sz w:val="24"/>
      <w:szCs w:val="24"/>
      <w:lang w:eastAsia="es-ES_tradnl"/>
    </w:rPr>
  </w:style>
  <w:style w:type="character" w:styleId="Nmerodepgina">
    <w:name w:val="page number"/>
    <w:basedOn w:val="Fuentedeprrafopredeter"/>
    <w:uiPriority w:val="99"/>
    <w:semiHidden/>
    <w:unhideWhenUsed/>
    <w:rsid w:val="00EB3AE6"/>
  </w:style>
  <w:style w:type="paragraph" w:styleId="Prrafodelista">
    <w:name w:val="List Paragraph"/>
    <w:basedOn w:val="Normal"/>
    <w:uiPriority w:val="34"/>
    <w:qFormat/>
    <w:rsid w:val="005B6A61"/>
    <w:pPr>
      <w:spacing w:after="160"/>
      <w:ind w:left="720"/>
      <w:contextualSpacing/>
      <w:jc w:val="left"/>
    </w:pPr>
    <w:rPr>
      <w:sz w:val="22"/>
      <w:szCs w:val="22"/>
    </w:rPr>
  </w:style>
  <w:style w:type="paragraph" w:styleId="Revisin">
    <w:name w:val="Revision"/>
    <w:hidden/>
    <w:uiPriority w:val="99"/>
    <w:semiHidden/>
    <w:rsid w:val="00F37DCB"/>
    <w:rPr>
      <w:sz w:val="20"/>
      <w:szCs w:val="20"/>
    </w:rPr>
  </w:style>
  <w:style w:type="paragraph" w:customStyle="1" w:styleId="Ningnestilodeprrafo">
    <w:name w:val="[Ningún estilo de párrafo]"/>
    <w:rsid w:val="001166BA"/>
    <w:pPr>
      <w:autoSpaceDE w:val="0"/>
      <w:autoSpaceDN w:val="0"/>
      <w:adjustRightInd w:val="0"/>
      <w:spacing w:line="288" w:lineRule="auto"/>
      <w:textAlignment w:val="center"/>
    </w:pPr>
    <w:rPr>
      <w:rFonts w:ascii="Minion Pro" w:hAnsi="Minion Pro" w:cs="Minion Pro"/>
      <w:color w:val="00000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668085">
      <w:bodyDiv w:val="1"/>
      <w:marLeft w:val="0"/>
      <w:marRight w:val="0"/>
      <w:marTop w:val="0"/>
      <w:marBottom w:val="0"/>
      <w:divBdr>
        <w:top w:val="none" w:sz="0" w:space="0" w:color="auto"/>
        <w:left w:val="none" w:sz="0" w:space="0" w:color="auto"/>
        <w:bottom w:val="none" w:sz="0" w:space="0" w:color="auto"/>
        <w:right w:val="none" w:sz="0" w:space="0" w:color="auto"/>
      </w:divBdr>
    </w:div>
    <w:div w:id="1429616794">
      <w:bodyDiv w:val="1"/>
      <w:marLeft w:val="0"/>
      <w:marRight w:val="0"/>
      <w:marTop w:val="0"/>
      <w:marBottom w:val="0"/>
      <w:divBdr>
        <w:top w:val="none" w:sz="0" w:space="0" w:color="auto"/>
        <w:left w:val="none" w:sz="0" w:space="0" w:color="auto"/>
        <w:bottom w:val="none" w:sz="0" w:space="0" w:color="auto"/>
        <w:right w:val="none" w:sz="0" w:space="0" w:color="auto"/>
      </w:divBdr>
    </w:div>
    <w:div w:id="1552379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3.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A20700FA3844B240AC1F30732CB995F1" ma:contentTypeVersion="18" ma:contentTypeDescription="Crear nuevo documento." ma:contentTypeScope="" ma:versionID="47a7d07c606c94e253426ce383fe6e81">
  <xsd:schema xmlns:xsd="http://www.w3.org/2001/XMLSchema" xmlns:xs="http://www.w3.org/2001/XMLSchema" xmlns:p="http://schemas.microsoft.com/office/2006/metadata/properties" xmlns:ns2="b10c9471-5172-49f5-ac34-989c910b1622" xmlns:ns3="eb34de98-9175-4b28-bad6-fdaf71ab3989" targetNamespace="http://schemas.microsoft.com/office/2006/metadata/properties" ma:root="true" ma:fieldsID="2d785e44d040d36c38ea4b276c2a1a73" ns2:_="" ns3:_="">
    <xsd:import namespace="b10c9471-5172-49f5-ac34-989c910b1622"/>
    <xsd:import namespace="eb34de98-9175-4b28-bad6-fdaf71ab39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0c9471-5172-49f5-ac34-989c910b16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b50d6942-f8d3-4f7b-b65f-385dedc3da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34de98-9175-4b28-bad6-fdaf71ab3989"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7efd6e39-d2cd-4c22-b516-21fc7157794c}" ma:internalName="TaxCatchAll" ma:showField="CatchAllData" ma:web="eb34de98-9175-4b28-bad6-fdaf71ab39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10c9471-5172-49f5-ac34-989c910b1622">
      <Terms xmlns="http://schemas.microsoft.com/office/infopath/2007/PartnerControls"/>
    </lcf76f155ced4ddcb4097134ff3c332f>
    <TaxCatchAll xmlns="eb34de98-9175-4b28-bad6-fdaf71ab3989" xsi:nil="true"/>
  </documentManagement>
</p:properties>
</file>

<file path=customXml/itemProps1.xml><?xml version="1.0" encoding="utf-8"?>
<ds:datastoreItem xmlns:ds="http://schemas.openxmlformats.org/officeDocument/2006/customXml" ds:itemID="{2E2A52A7-4794-6C4E-AA8F-C4CBF9BF1FAD}">
  <ds:schemaRefs>
    <ds:schemaRef ds:uri="http://schemas.openxmlformats.org/officeDocument/2006/bibliography"/>
  </ds:schemaRefs>
</ds:datastoreItem>
</file>

<file path=customXml/itemProps2.xml><?xml version="1.0" encoding="utf-8"?>
<ds:datastoreItem xmlns:ds="http://schemas.openxmlformats.org/officeDocument/2006/customXml" ds:itemID="{7F178662-FA2C-4F1A-8CBB-376ADA99772B}">
  <ds:schemaRefs>
    <ds:schemaRef ds:uri="http://schemas.microsoft.com/sharepoint/v3/contenttype/forms"/>
  </ds:schemaRefs>
</ds:datastoreItem>
</file>

<file path=customXml/itemProps3.xml><?xml version="1.0" encoding="utf-8"?>
<ds:datastoreItem xmlns:ds="http://schemas.openxmlformats.org/officeDocument/2006/customXml" ds:itemID="{5424859C-1CA6-47B8-8F6A-E0EA835512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0c9471-5172-49f5-ac34-989c910b1622"/>
    <ds:schemaRef ds:uri="eb34de98-9175-4b28-bad6-fdaf71ab3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540F91-5704-4516-B7F5-BE7EFB894511}">
  <ds:schemaRefs>
    <ds:schemaRef ds:uri="http://schemas.microsoft.com/office/2006/metadata/properties"/>
    <ds:schemaRef ds:uri="http://schemas.microsoft.com/office/infopath/2007/PartnerControls"/>
    <ds:schemaRef ds:uri="b10c9471-5172-49f5-ac34-989c910b1622"/>
    <ds:schemaRef ds:uri="eb34de98-9175-4b28-bad6-fdaf71ab398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1690</Words>
  <Characters>9296</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Sanabria Sanchez, Esperanza</dc:creator>
  <cp:keywords/>
  <dc:description/>
  <cp:lastModifiedBy>Digitalización</cp:lastModifiedBy>
  <cp:revision>2</cp:revision>
  <dcterms:created xsi:type="dcterms:W3CDTF">2025-11-12T08:46:00Z</dcterms:created>
  <dcterms:modified xsi:type="dcterms:W3CDTF">2025-11-12T08:46:00Z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0x010100A20700FA3844B240AC1F30732CB995F1</vt:lpwstr>
  </property>
  <property fmtid="{D5CDD505-2E9C-101B-9397-08002B2CF9AE}" pid="3" name="MediaServiceImageTags">
    <vt:lpwstr/>
  </property>
</Properties>
</file>